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7D529FAC"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w:t>
      </w:r>
      <w:r w:rsidR="001F0A27" w:rsidRPr="004727AA">
        <w:t>D2</w:t>
      </w:r>
      <w:r w:rsidR="001F0A27">
        <w:t>2</w:t>
      </w:r>
      <w:r w:rsidRPr="004727AA">
        <w:t xml:space="preserve">) </w:t>
      </w:r>
    </w:p>
    <w:p w14:paraId="32E40D8C" w14:textId="211B738B"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2F2A95">
        <w:t>P</w:t>
      </w:r>
      <w:r w:rsidR="00801395" w:rsidRPr="004727AA">
        <w:t xml:space="preserve">2) </w:t>
      </w:r>
      <w:r w:rsidRPr="004727AA">
        <w:t xml:space="preserve">  </w:t>
      </w:r>
    </w:p>
    <w:p w14:paraId="36E4B91F" w14:textId="33527E9A" w:rsidR="00801395" w:rsidRPr="004727AA" w:rsidRDefault="0016399B" w:rsidP="00801395">
      <w:r>
        <w:rPr>
          <w:b/>
        </w:rPr>
        <w:t>Cena</w:t>
      </w:r>
      <w:r w:rsidRPr="004727AA">
        <w:t xml:space="preserve"> </w:t>
      </w:r>
      <w:r w:rsidR="00801395" w:rsidRPr="004727AA">
        <w:t xml:space="preserve">(v buňkách </w:t>
      </w:r>
      <w:r w:rsidR="001F0A27">
        <w:t>G</w:t>
      </w:r>
      <w:r w:rsidR="001F0A27" w:rsidRPr="004727AA">
        <w:t>2</w:t>
      </w:r>
      <w:r w:rsidR="001F0A27">
        <w:t>3</w:t>
      </w:r>
      <w:r w:rsidR="00801395" w:rsidRPr="004727AA">
        <w:t>:</w:t>
      </w:r>
      <w:r w:rsidR="001F0A27">
        <w:t>P</w:t>
      </w:r>
      <w:r w:rsidR="001F0A27" w:rsidRPr="004727AA">
        <w:t>2</w:t>
      </w:r>
      <w:r w:rsidR="001F0A27">
        <w:t>3</w:t>
      </w:r>
      <w:r w:rsidR="00801395" w:rsidRPr="004727AA">
        <w:t xml:space="preserve">) je počítána jako součet Cenotvorných položek příslušného období Jízdního řádu. Typy </w:t>
      </w:r>
      <w:r>
        <w:t>Cen</w:t>
      </w:r>
      <w:r w:rsidRPr="004727AA">
        <w:t xml:space="preserve"> </w:t>
      </w:r>
      <w:r w:rsidR="00801395" w:rsidRPr="004727AA">
        <w:t>se odlišují na jednotlivých listech.</w:t>
      </w:r>
    </w:p>
    <w:p w14:paraId="218371D4" w14:textId="26A7FCBB"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C24E44">
        <w:t>G</w:t>
      </w:r>
      <w:r w:rsidR="00C24E44" w:rsidRPr="004727AA">
        <w:t>2</w:t>
      </w:r>
      <w:r w:rsidR="00C24E44">
        <w:t>5</w:t>
      </w:r>
      <w:r w:rsidR="005554BD" w:rsidRPr="004727AA">
        <w:t>:</w:t>
      </w:r>
      <w:r w:rsidR="00C24E44">
        <w:t>P</w:t>
      </w:r>
      <w:r w:rsidR="00C24E44" w:rsidRPr="004727AA">
        <w:t>2</w:t>
      </w:r>
      <w:r w:rsidR="00C24E44">
        <w:t>5</w:t>
      </w:r>
      <w:r w:rsidR="005554BD" w:rsidRPr="004727AA">
        <w:t xml:space="preserve">) </w:t>
      </w:r>
      <w:r w:rsidRPr="004727AA">
        <w:t xml:space="preserve">je počítána jako podíl </w:t>
      </w:r>
      <w:r w:rsidR="0016399B">
        <w:t>Ceny</w:t>
      </w:r>
      <w:r w:rsidR="0016399B" w:rsidRPr="004727AA">
        <w:t xml:space="preserve"> </w:t>
      </w:r>
      <w:r w:rsidR="00944A06" w:rsidRPr="004727AA">
        <w:t xml:space="preserve">(v buňkách </w:t>
      </w:r>
      <w:r w:rsidR="00C24E44">
        <w:t>G</w:t>
      </w:r>
      <w:r w:rsidR="00C24E44" w:rsidRPr="004727AA">
        <w:t>2</w:t>
      </w:r>
      <w:r w:rsidR="00C24E44">
        <w:t>3</w:t>
      </w:r>
      <w:r w:rsidR="00944A06" w:rsidRPr="004727AA">
        <w:t>:</w:t>
      </w:r>
      <w:r w:rsidR="00C24E44">
        <w:t>P</w:t>
      </w:r>
      <w:r w:rsidR="00C24E44" w:rsidRPr="004727AA">
        <w:t>2</w:t>
      </w:r>
      <w:r w:rsidR="00C24E44">
        <w:t>3</w:t>
      </w:r>
      <w:r w:rsidR="00944A06" w:rsidRPr="004727AA">
        <w:t xml:space="preserve">) </w:t>
      </w:r>
      <w:r w:rsidRPr="004727AA">
        <w:t>a Dopravního výkonu</w:t>
      </w:r>
      <w:r w:rsidR="005554BD" w:rsidRPr="004727AA">
        <w:t xml:space="preserve"> (v buňkách </w:t>
      </w:r>
      <w:r w:rsidR="00C24E44">
        <w:t>G</w:t>
      </w:r>
      <w:r w:rsidR="00C24E44" w:rsidRPr="004727AA">
        <w:t>2</w:t>
      </w:r>
      <w:r w:rsidR="00C24E44">
        <w:t>4</w:t>
      </w:r>
      <w:r w:rsidR="005554BD" w:rsidRPr="004727AA">
        <w:t>:</w:t>
      </w:r>
      <w:r w:rsidR="00C24E44">
        <w:t>P</w:t>
      </w:r>
      <w:r w:rsidR="00C24E44" w:rsidRPr="004727AA">
        <w:t>2</w:t>
      </w:r>
      <w:r w:rsidR="00C24E44">
        <w:t>4</w:t>
      </w:r>
      <w:r w:rsidR="005554BD" w:rsidRPr="004727AA">
        <w:t xml:space="preserve">).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50B2CA56" w:rsidR="005554BD" w:rsidRPr="004727AA" w:rsidRDefault="005554BD" w:rsidP="00767DED">
      <w:r w:rsidRPr="00833ECC">
        <w:rPr>
          <w:b/>
        </w:rPr>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DF3D05">
        <w:t>G</w:t>
      </w:r>
      <w:r w:rsidR="00DF3D05" w:rsidRPr="004727AA">
        <w:t>2</w:t>
      </w:r>
      <w:r w:rsidR="00DF3D05">
        <w:t>6</w:t>
      </w:r>
      <w:r w:rsidRPr="004727AA">
        <w:t>:</w:t>
      </w:r>
      <w:r w:rsidR="00DF3D05">
        <w:t>P</w:t>
      </w:r>
      <w:r w:rsidR="00DF3D05" w:rsidRPr="004727AA">
        <w:t>2</w:t>
      </w:r>
      <w:r w:rsidR="00DF3D05">
        <w:t>6</w:t>
      </w:r>
      <w:r w:rsidRPr="004727AA">
        <w:t xml:space="preserve">)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DF3D05">
        <w:t>G</w:t>
      </w:r>
      <w:r w:rsidR="00DF3D05" w:rsidRPr="00944A06">
        <w:t>2</w:t>
      </w:r>
      <w:r w:rsidR="00DF3D05">
        <w:t>4</w:t>
      </w:r>
      <w:r w:rsidR="00944A06" w:rsidRPr="00944A06">
        <w:t>:</w:t>
      </w:r>
      <w:r w:rsidR="00DF3D05">
        <w:t>P</w:t>
      </w:r>
      <w:r w:rsidR="00DF3D05" w:rsidRPr="00944A06">
        <w:t>2</w:t>
      </w:r>
      <w:r w:rsidR="00DF3D05">
        <w:t>4</w:t>
      </w:r>
      <w:r w:rsidR="00944A06" w:rsidRPr="00944A06">
        <w:t>)</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590842A2" w:rsidR="00D62634" w:rsidRPr="004727AA" w:rsidRDefault="00D62634" w:rsidP="005554BD">
      <w:r w:rsidRPr="00833ECC">
        <w:rPr>
          <w:b/>
        </w:rPr>
        <w:lastRenderedPageBreak/>
        <w:t>Součet Cenotvorných položek</w:t>
      </w:r>
      <w:r w:rsidRPr="004727AA">
        <w:t xml:space="preserve"> (v buňkách </w:t>
      </w:r>
      <w:r w:rsidR="00C810C6">
        <w:t>Q</w:t>
      </w:r>
      <w:r w:rsidRPr="004727AA">
        <w:t>3:</w:t>
      </w:r>
      <w:r w:rsidR="00DF3D05">
        <w:t>Q</w:t>
      </w:r>
      <w:r w:rsidR="00DF3D05" w:rsidRPr="004727AA">
        <w:t>2</w:t>
      </w:r>
      <w:r w:rsidR="00DF3D05">
        <w:t>2</w:t>
      </w:r>
      <w:r w:rsidRPr="004727AA">
        <w:t xml:space="preserve">) vyjadřuje celkovou výši Cenotvorných položek za Dobu </w:t>
      </w:r>
      <w:r w:rsidR="006D3A70" w:rsidRPr="004727AA">
        <w:t>p</w:t>
      </w:r>
      <w:r w:rsidRPr="004727AA">
        <w:t>lnění Smlouvy.</w:t>
      </w:r>
    </w:p>
    <w:p w14:paraId="15098B97" w14:textId="3A8273FD" w:rsidR="00D62634" w:rsidRPr="004727AA" w:rsidRDefault="00D62634" w:rsidP="005554BD">
      <w:r w:rsidRPr="00833ECC">
        <w:rPr>
          <w:b/>
        </w:rPr>
        <w:t>Průměr Cenotvorných položek</w:t>
      </w:r>
      <w:r w:rsidRPr="004727AA">
        <w:t xml:space="preserve"> (v buňkách </w:t>
      </w:r>
      <w:r w:rsidR="00C810C6">
        <w:t>R</w:t>
      </w:r>
      <w:r w:rsidRPr="004727AA">
        <w:t>3:</w:t>
      </w:r>
      <w:r w:rsidR="00DF3D05">
        <w:t>R</w:t>
      </w:r>
      <w:r w:rsidR="00DF3D05" w:rsidRPr="004727AA">
        <w:t>2</w:t>
      </w:r>
      <w:r w:rsidR="00DF3D05">
        <w:t>2</w:t>
      </w:r>
      <w:r w:rsidRPr="004727AA">
        <w:t xml:space="preserve">) vyjadřuje aritmeticky průměrnou výši Cenotvorných položek za Dobu </w:t>
      </w:r>
      <w:r w:rsidR="006D3A70" w:rsidRPr="004727AA">
        <w:t>p</w:t>
      </w:r>
      <w:r w:rsidRPr="004727AA">
        <w:t>lnění Smlouvy.</w:t>
      </w:r>
    </w:p>
    <w:p w14:paraId="2583299A" w14:textId="104D4B88" w:rsidR="00D62634" w:rsidRPr="004727AA" w:rsidRDefault="00D62634" w:rsidP="00B75E4D">
      <w:r w:rsidRPr="00833ECC">
        <w:rPr>
          <w:b/>
        </w:rPr>
        <w:t>Přiřazení Cenotvorných položek</w:t>
      </w:r>
      <w:r w:rsidRPr="004727AA">
        <w:t xml:space="preserve"> (v buňkách </w:t>
      </w:r>
      <w:r w:rsidR="00C810C6">
        <w:t>S</w:t>
      </w:r>
      <w:r w:rsidRPr="004727AA">
        <w:t>3:</w:t>
      </w:r>
      <w:r w:rsidR="00DF3D05">
        <w:t>U</w:t>
      </w:r>
      <w:r w:rsidR="00DF3D05" w:rsidRPr="004727AA">
        <w:t>2</w:t>
      </w:r>
      <w:r w:rsidR="00DF3D05">
        <w:t>2</w:t>
      </w:r>
      <w:r w:rsidRPr="004727AA">
        <w:t xml:space="preserve">)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316214F7" w:rsidR="00FE3339" w:rsidRPr="004727AA" w:rsidRDefault="00D62634" w:rsidP="00E23998">
      <w:pPr>
        <w:pStyle w:val="Odstavecseseznamem"/>
        <w:numPr>
          <w:ilvl w:val="0"/>
          <w:numId w:val="10"/>
        </w:numPr>
      </w:pPr>
      <w:r w:rsidRPr="004727AA">
        <w:t xml:space="preserve">Přiřazení položek na Výkon (v buňkách </w:t>
      </w:r>
      <w:r w:rsidR="00DD2BFC">
        <w:t>S</w:t>
      </w:r>
      <w:r w:rsidRPr="004727AA">
        <w:t>3:</w:t>
      </w:r>
      <w:r w:rsidR="007E730F">
        <w:t>S</w:t>
      </w:r>
      <w:r w:rsidR="007E730F" w:rsidRPr="004727AA">
        <w:t>2</w:t>
      </w:r>
      <w:r w:rsidR="007E730F">
        <w:t>2</w:t>
      </w:r>
      <w:r w:rsidRPr="004727AA">
        <w:t>)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ADCE03C" w:rsidR="00FE3339" w:rsidRPr="004727AA" w:rsidRDefault="00FE3339" w:rsidP="00E23998">
      <w:pPr>
        <w:pStyle w:val="Odstavecseseznamem"/>
        <w:numPr>
          <w:ilvl w:val="0"/>
          <w:numId w:val="10"/>
        </w:numPr>
      </w:pPr>
      <w:r w:rsidRPr="004727AA">
        <w:t xml:space="preserve">Přiřazení položek na Vozidlo (v buňkách </w:t>
      </w:r>
      <w:r w:rsidR="00DD2BFC">
        <w:t>T</w:t>
      </w:r>
      <w:r w:rsidRPr="004727AA">
        <w:t>3:</w:t>
      </w:r>
      <w:r w:rsidR="007E730F">
        <w:t>T</w:t>
      </w:r>
      <w:r w:rsidR="007E730F" w:rsidRPr="004727AA">
        <w:t>2</w:t>
      </w:r>
      <w:r w:rsidR="007E730F">
        <w:t>2</w:t>
      </w:r>
      <w:r w:rsidRPr="004727AA">
        <w:t>) znamená, jakým podílem je Cenotvorná položka proměnná s Počtem vlakových jednotek; tj. při změně (zvýšení či snížení) Počtu vlakových jednotek se změní přímo úměrně s ním.</w:t>
      </w:r>
    </w:p>
    <w:p w14:paraId="105E6A61" w14:textId="5FD1A901" w:rsidR="002B0316" w:rsidRDefault="007F14CC" w:rsidP="00E23998">
      <w:pPr>
        <w:pStyle w:val="Odstavecseseznamem"/>
        <w:numPr>
          <w:ilvl w:val="0"/>
          <w:numId w:val="10"/>
        </w:numPr>
      </w:pPr>
      <w:r w:rsidRPr="004727AA">
        <w:t xml:space="preserve">Přiřazení položek na Fixní složku (v buňkách </w:t>
      </w:r>
      <w:r w:rsidR="00DD2BFC">
        <w:t>U</w:t>
      </w:r>
      <w:r w:rsidRPr="004727AA">
        <w:t>3:</w:t>
      </w:r>
      <w:r w:rsidR="007E730F">
        <w:t>U</w:t>
      </w:r>
      <w:r w:rsidR="007E730F" w:rsidRPr="004727AA">
        <w:t>2</w:t>
      </w:r>
      <w:r w:rsidR="007E730F">
        <w:t>2</w:t>
      </w:r>
      <w:r w:rsidRPr="004727AA">
        <w:t>)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78C0329A"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r w:rsidR="00DE6D0B">
        <w:t>V23</w:t>
      </w:r>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0F0C4A74" w:rsidR="002B0316" w:rsidRPr="004727AA" w:rsidRDefault="002B0316" w:rsidP="002B0316">
            <w:pPr>
              <w:jc w:val="right"/>
            </w:pPr>
            <w:r w:rsidRPr="004727AA">
              <w:rPr>
                <w:i/>
              </w:rPr>
              <w:t xml:space="preserve">j </w:t>
            </w:r>
            <w:r w:rsidRPr="004727AA">
              <w:t xml:space="preserve">= </w:t>
            </w:r>
            <w:r w:rsidR="00D6216C">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0794A1C3" w:rsidR="002B0316" w:rsidRPr="004727AA" w:rsidRDefault="002B0316" w:rsidP="002B0316">
            <w:pPr>
              <w:jc w:val="right"/>
            </w:pPr>
            <w:r w:rsidRPr="004727AA">
              <w:rPr>
                <w:i/>
              </w:rPr>
              <w:t>j</w:t>
            </w:r>
            <w:r w:rsidRPr="004727AA">
              <w:t xml:space="preserve"> = 1</w:t>
            </w:r>
            <w:r w:rsidR="00D6216C">
              <w:t>2</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6E108F0E" w:rsidR="002B0316" w:rsidRPr="004727AA" w:rsidRDefault="002B0316" w:rsidP="002B0316">
            <w:pPr>
              <w:jc w:val="right"/>
              <w:rPr>
                <w:i/>
              </w:rPr>
            </w:pPr>
            <w:r w:rsidRPr="004727AA">
              <w:t>20</w:t>
            </w:r>
            <w:r w:rsidR="00D3052B">
              <w:t>20</w:t>
            </w:r>
            <w:r w:rsidRPr="004727AA">
              <w:t>/</w:t>
            </w:r>
            <w:r w:rsidR="00C069AD">
              <w:t>2</w:t>
            </w:r>
            <w:r w:rsidR="00D3052B">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0693CB68" w:rsidR="002B0316" w:rsidRPr="004727AA" w:rsidRDefault="002B0316" w:rsidP="002B0316">
            <w:pPr>
              <w:jc w:val="right"/>
              <w:rPr>
                <w:i/>
              </w:rPr>
            </w:pPr>
            <w:r w:rsidRPr="004727AA">
              <w:t>203</w:t>
            </w:r>
            <w:r w:rsidR="00AB25EB">
              <w:t>1</w:t>
            </w:r>
            <w:r w:rsidRPr="004727AA">
              <w:t>/3</w:t>
            </w:r>
            <w:r w:rsidR="00AB25EB">
              <w:t>2</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DE6D0B" w:rsidRPr="004727AA" w14:paraId="7AEB66E5" w14:textId="77777777" w:rsidTr="002B0316">
        <w:trPr>
          <w:trHeight w:val="300"/>
        </w:trPr>
        <w:tc>
          <w:tcPr>
            <w:tcW w:w="1268" w:type="dxa"/>
            <w:noWrap/>
          </w:tcPr>
          <w:p w14:paraId="2EE55423" w14:textId="5EFC2DCD" w:rsidR="00DE6D0B" w:rsidRPr="004727AA" w:rsidRDefault="00DE6D0B" w:rsidP="00DE6D0B">
            <w:pPr>
              <w:jc w:val="center"/>
              <w:rPr>
                <w:i/>
              </w:rPr>
            </w:pPr>
            <w:r w:rsidRPr="004727AA">
              <w:rPr>
                <w:i/>
              </w:rPr>
              <w:t>i</w:t>
            </w:r>
            <w:r w:rsidRPr="004727AA">
              <w:t xml:space="preserve"> = 12</w:t>
            </w:r>
          </w:p>
        </w:tc>
        <w:tc>
          <w:tcPr>
            <w:tcW w:w="6560" w:type="dxa"/>
            <w:gridSpan w:val="3"/>
            <w:noWrap/>
          </w:tcPr>
          <w:p w14:paraId="2ED98F38" w14:textId="0B760AEF" w:rsidR="00DE6D0B" w:rsidRPr="004727AA" w:rsidRDefault="00DE6D0B" w:rsidP="00DE6D0B">
            <w:r w:rsidRPr="004727AA">
              <w:t>Ostatní přímé náklady</w:t>
            </w:r>
          </w:p>
        </w:tc>
        <w:tc>
          <w:tcPr>
            <w:tcW w:w="1176" w:type="dxa"/>
          </w:tcPr>
          <w:p w14:paraId="6B581C47" w14:textId="77777777" w:rsidR="00DE6D0B" w:rsidRPr="004727AA" w:rsidRDefault="00DE6D0B" w:rsidP="00DE6D0B"/>
        </w:tc>
        <w:tc>
          <w:tcPr>
            <w:tcW w:w="1176" w:type="dxa"/>
          </w:tcPr>
          <w:p w14:paraId="2E41ADD4" w14:textId="77777777" w:rsidR="00DE6D0B" w:rsidRPr="004727AA" w:rsidRDefault="00DE6D0B" w:rsidP="00DE6D0B"/>
        </w:tc>
        <w:tc>
          <w:tcPr>
            <w:tcW w:w="1176" w:type="dxa"/>
          </w:tcPr>
          <w:p w14:paraId="28B6765C" w14:textId="77777777" w:rsidR="00DE6D0B" w:rsidRPr="004727AA" w:rsidRDefault="00DE6D0B" w:rsidP="00DE6D0B"/>
        </w:tc>
        <w:tc>
          <w:tcPr>
            <w:tcW w:w="1176" w:type="dxa"/>
          </w:tcPr>
          <w:p w14:paraId="7AE760D0" w14:textId="77777777" w:rsidR="00DE6D0B" w:rsidRPr="004727AA" w:rsidRDefault="00DE6D0B" w:rsidP="00DE6D0B"/>
        </w:tc>
        <w:tc>
          <w:tcPr>
            <w:tcW w:w="1177" w:type="dxa"/>
          </w:tcPr>
          <w:p w14:paraId="197A1103" w14:textId="77777777" w:rsidR="00DE6D0B" w:rsidRPr="004727AA" w:rsidRDefault="00DE6D0B" w:rsidP="00DE6D0B"/>
        </w:tc>
      </w:tr>
      <w:tr w:rsidR="00DE6D0B" w:rsidRPr="004727AA" w14:paraId="5E6F851E" w14:textId="77777777" w:rsidTr="002B0316">
        <w:trPr>
          <w:trHeight w:val="300"/>
        </w:trPr>
        <w:tc>
          <w:tcPr>
            <w:tcW w:w="1268" w:type="dxa"/>
            <w:noWrap/>
            <w:hideMark/>
          </w:tcPr>
          <w:p w14:paraId="100C5C70" w14:textId="77777777" w:rsidR="00DE6D0B" w:rsidRPr="004727AA" w:rsidRDefault="00DE6D0B" w:rsidP="00DE6D0B">
            <w:pPr>
              <w:jc w:val="center"/>
            </w:pPr>
            <w:r w:rsidRPr="004727AA">
              <w:rPr>
                <w:i/>
              </w:rPr>
              <w:t>i</w:t>
            </w:r>
            <w:r w:rsidRPr="004727AA">
              <w:t xml:space="preserve"> = 13</w:t>
            </w:r>
          </w:p>
        </w:tc>
        <w:tc>
          <w:tcPr>
            <w:tcW w:w="3028" w:type="dxa"/>
            <w:tcBorders>
              <w:right w:val="nil"/>
            </w:tcBorders>
            <w:noWrap/>
            <w:hideMark/>
          </w:tcPr>
          <w:p w14:paraId="4542DE6C" w14:textId="77777777" w:rsidR="00DE6D0B" w:rsidRPr="004727AA" w:rsidRDefault="00DE6D0B" w:rsidP="00DE6D0B">
            <w:r w:rsidRPr="004727AA">
              <w:t>Ostatní služby</w:t>
            </w:r>
          </w:p>
        </w:tc>
        <w:tc>
          <w:tcPr>
            <w:tcW w:w="1266" w:type="dxa"/>
            <w:tcBorders>
              <w:left w:val="nil"/>
              <w:right w:val="nil"/>
            </w:tcBorders>
            <w:noWrap/>
            <w:hideMark/>
          </w:tcPr>
          <w:p w14:paraId="315BB5BE" w14:textId="77777777" w:rsidR="00DE6D0B" w:rsidRPr="004727AA" w:rsidRDefault="00DE6D0B" w:rsidP="00DE6D0B">
            <w:r w:rsidRPr="004727AA">
              <w:t> </w:t>
            </w:r>
          </w:p>
        </w:tc>
        <w:tc>
          <w:tcPr>
            <w:tcW w:w="2266" w:type="dxa"/>
            <w:tcBorders>
              <w:left w:val="nil"/>
            </w:tcBorders>
            <w:noWrap/>
            <w:hideMark/>
          </w:tcPr>
          <w:p w14:paraId="26581211" w14:textId="77777777" w:rsidR="00DE6D0B" w:rsidRPr="004727AA" w:rsidRDefault="00DE6D0B" w:rsidP="00DE6D0B">
            <w:r w:rsidRPr="004727AA">
              <w:t> </w:t>
            </w:r>
          </w:p>
        </w:tc>
        <w:tc>
          <w:tcPr>
            <w:tcW w:w="1176" w:type="dxa"/>
            <w:tcBorders>
              <w:left w:val="nil"/>
            </w:tcBorders>
          </w:tcPr>
          <w:p w14:paraId="1BB9DA10" w14:textId="77777777" w:rsidR="00DE6D0B" w:rsidRPr="004727AA" w:rsidRDefault="00DE6D0B" w:rsidP="00DE6D0B"/>
        </w:tc>
        <w:tc>
          <w:tcPr>
            <w:tcW w:w="1176" w:type="dxa"/>
            <w:tcBorders>
              <w:left w:val="nil"/>
            </w:tcBorders>
          </w:tcPr>
          <w:p w14:paraId="43EF6104" w14:textId="77777777" w:rsidR="00DE6D0B" w:rsidRPr="004727AA" w:rsidRDefault="00DE6D0B" w:rsidP="00DE6D0B"/>
        </w:tc>
        <w:tc>
          <w:tcPr>
            <w:tcW w:w="1176" w:type="dxa"/>
            <w:tcBorders>
              <w:left w:val="nil"/>
            </w:tcBorders>
          </w:tcPr>
          <w:p w14:paraId="5169C20D" w14:textId="77777777" w:rsidR="00DE6D0B" w:rsidRPr="004727AA" w:rsidRDefault="00DE6D0B" w:rsidP="00DE6D0B"/>
        </w:tc>
        <w:tc>
          <w:tcPr>
            <w:tcW w:w="1176" w:type="dxa"/>
            <w:tcBorders>
              <w:left w:val="nil"/>
            </w:tcBorders>
          </w:tcPr>
          <w:p w14:paraId="61464044" w14:textId="77777777" w:rsidR="00DE6D0B" w:rsidRPr="004727AA" w:rsidRDefault="00DE6D0B" w:rsidP="00DE6D0B"/>
        </w:tc>
        <w:tc>
          <w:tcPr>
            <w:tcW w:w="1177" w:type="dxa"/>
            <w:tcBorders>
              <w:left w:val="nil"/>
            </w:tcBorders>
          </w:tcPr>
          <w:p w14:paraId="5F1C5ED9" w14:textId="77777777" w:rsidR="00DE6D0B" w:rsidRPr="004727AA" w:rsidRDefault="00DE6D0B" w:rsidP="00DE6D0B"/>
        </w:tc>
      </w:tr>
      <w:tr w:rsidR="00DE6D0B" w:rsidRPr="004727AA" w14:paraId="63B3BC57" w14:textId="77777777" w:rsidTr="002B0316">
        <w:trPr>
          <w:trHeight w:val="300"/>
        </w:trPr>
        <w:tc>
          <w:tcPr>
            <w:tcW w:w="1268" w:type="dxa"/>
            <w:noWrap/>
            <w:hideMark/>
          </w:tcPr>
          <w:p w14:paraId="7752CB61" w14:textId="77777777" w:rsidR="00DE6D0B" w:rsidRPr="004727AA" w:rsidRDefault="00DE6D0B" w:rsidP="00DE6D0B">
            <w:pPr>
              <w:jc w:val="center"/>
            </w:pPr>
            <w:r w:rsidRPr="004727AA">
              <w:rPr>
                <w:i/>
              </w:rPr>
              <w:t>i</w:t>
            </w:r>
            <w:r w:rsidRPr="004727AA">
              <w:t xml:space="preserve"> = 14</w:t>
            </w:r>
          </w:p>
        </w:tc>
        <w:tc>
          <w:tcPr>
            <w:tcW w:w="3028" w:type="dxa"/>
            <w:tcBorders>
              <w:right w:val="nil"/>
            </w:tcBorders>
            <w:noWrap/>
            <w:hideMark/>
          </w:tcPr>
          <w:p w14:paraId="3E512F44" w14:textId="77777777" w:rsidR="00DE6D0B" w:rsidRPr="004727AA" w:rsidRDefault="00DE6D0B" w:rsidP="00DE6D0B">
            <w:r w:rsidRPr="004727AA">
              <w:t>Provozní režie</w:t>
            </w:r>
          </w:p>
        </w:tc>
        <w:tc>
          <w:tcPr>
            <w:tcW w:w="1266" w:type="dxa"/>
            <w:tcBorders>
              <w:left w:val="nil"/>
              <w:right w:val="nil"/>
            </w:tcBorders>
            <w:noWrap/>
            <w:hideMark/>
          </w:tcPr>
          <w:p w14:paraId="4B8F1440" w14:textId="77777777" w:rsidR="00DE6D0B" w:rsidRPr="004727AA" w:rsidRDefault="00DE6D0B" w:rsidP="00DE6D0B">
            <w:r w:rsidRPr="004727AA">
              <w:t> </w:t>
            </w:r>
          </w:p>
        </w:tc>
        <w:tc>
          <w:tcPr>
            <w:tcW w:w="2266" w:type="dxa"/>
            <w:tcBorders>
              <w:left w:val="nil"/>
            </w:tcBorders>
            <w:noWrap/>
            <w:hideMark/>
          </w:tcPr>
          <w:p w14:paraId="4B08BF34" w14:textId="77777777" w:rsidR="00DE6D0B" w:rsidRPr="004727AA" w:rsidRDefault="00DE6D0B" w:rsidP="00DE6D0B">
            <w:r w:rsidRPr="004727AA">
              <w:t> </w:t>
            </w:r>
          </w:p>
        </w:tc>
        <w:tc>
          <w:tcPr>
            <w:tcW w:w="1176" w:type="dxa"/>
            <w:tcBorders>
              <w:left w:val="nil"/>
            </w:tcBorders>
          </w:tcPr>
          <w:p w14:paraId="299C1392" w14:textId="77777777" w:rsidR="00DE6D0B" w:rsidRPr="004727AA" w:rsidRDefault="00DE6D0B" w:rsidP="00DE6D0B"/>
        </w:tc>
        <w:tc>
          <w:tcPr>
            <w:tcW w:w="1176" w:type="dxa"/>
            <w:tcBorders>
              <w:left w:val="nil"/>
            </w:tcBorders>
          </w:tcPr>
          <w:p w14:paraId="63A78E2C" w14:textId="77777777" w:rsidR="00DE6D0B" w:rsidRPr="004727AA" w:rsidRDefault="00DE6D0B" w:rsidP="00DE6D0B"/>
        </w:tc>
        <w:tc>
          <w:tcPr>
            <w:tcW w:w="1176" w:type="dxa"/>
            <w:tcBorders>
              <w:left w:val="nil"/>
            </w:tcBorders>
          </w:tcPr>
          <w:p w14:paraId="2E06086D" w14:textId="77777777" w:rsidR="00DE6D0B" w:rsidRPr="004727AA" w:rsidRDefault="00DE6D0B" w:rsidP="00DE6D0B"/>
        </w:tc>
        <w:tc>
          <w:tcPr>
            <w:tcW w:w="1176" w:type="dxa"/>
            <w:tcBorders>
              <w:left w:val="nil"/>
            </w:tcBorders>
          </w:tcPr>
          <w:p w14:paraId="387DFA4A" w14:textId="77777777" w:rsidR="00DE6D0B" w:rsidRPr="004727AA" w:rsidRDefault="00DE6D0B" w:rsidP="00DE6D0B"/>
        </w:tc>
        <w:tc>
          <w:tcPr>
            <w:tcW w:w="1177" w:type="dxa"/>
            <w:tcBorders>
              <w:left w:val="nil"/>
            </w:tcBorders>
          </w:tcPr>
          <w:p w14:paraId="53F7C7AB" w14:textId="77777777" w:rsidR="00DE6D0B" w:rsidRPr="004727AA" w:rsidRDefault="00DE6D0B" w:rsidP="00DE6D0B"/>
        </w:tc>
      </w:tr>
      <w:tr w:rsidR="00DE6D0B" w:rsidRPr="004727AA" w14:paraId="017D4FF5" w14:textId="77777777" w:rsidTr="002B0316">
        <w:trPr>
          <w:trHeight w:val="300"/>
        </w:trPr>
        <w:tc>
          <w:tcPr>
            <w:tcW w:w="1268" w:type="dxa"/>
            <w:noWrap/>
            <w:hideMark/>
          </w:tcPr>
          <w:p w14:paraId="014D51EA" w14:textId="77777777" w:rsidR="00DE6D0B" w:rsidRPr="004727AA" w:rsidRDefault="00DE6D0B" w:rsidP="00DE6D0B">
            <w:pPr>
              <w:jc w:val="center"/>
            </w:pPr>
            <w:r w:rsidRPr="004727AA">
              <w:rPr>
                <w:i/>
              </w:rPr>
              <w:t>i</w:t>
            </w:r>
            <w:r w:rsidRPr="004727AA">
              <w:t xml:space="preserve"> = 15</w:t>
            </w:r>
          </w:p>
        </w:tc>
        <w:tc>
          <w:tcPr>
            <w:tcW w:w="3028" w:type="dxa"/>
            <w:tcBorders>
              <w:right w:val="nil"/>
            </w:tcBorders>
            <w:noWrap/>
            <w:hideMark/>
          </w:tcPr>
          <w:p w14:paraId="0E4C3E99" w14:textId="77777777" w:rsidR="00DE6D0B" w:rsidRPr="004727AA" w:rsidRDefault="00DE6D0B" w:rsidP="00DE6D0B">
            <w:r w:rsidRPr="004727AA">
              <w:t>Správní režie</w:t>
            </w:r>
          </w:p>
        </w:tc>
        <w:tc>
          <w:tcPr>
            <w:tcW w:w="1266" w:type="dxa"/>
            <w:tcBorders>
              <w:left w:val="nil"/>
              <w:right w:val="nil"/>
            </w:tcBorders>
            <w:noWrap/>
            <w:hideMark/>
          </w:tcPr>
          <w:p w14:paraId="1E0A3D17" w14:textId="77777777" w:rsidR="00DE6D0B" w:rsidRPr="004727AA" w:rsidRDefault="00DE6D0B" w:rsidP="00DE6D0B">
            <w:r w:rsidRPr="004727AA">
              <w:t> </w:t>
            </w:r>
          </w:p>
        </w:tc>
        <w:tc>
          <w:tcPr>
            <w:tcW w:w="2266" w:type="dxa"/>
            <w:tcBorders>
              <w:left w:val="nil"/>
            </w:tcBorders>
            <w:noWrap/>
            <w:hideMark/>
          </w:tcPr>
          <w:p w14:paraId="09D6619B" w14:textId="77777777" w:rsidR="00DE6D0B" w:rsidRPr="004727AA" w:rsidRDefault="00DE6D0B" w:rsidP="00DE6D0B">
            <w:r w:rsidRPr="004727AA">
              <w:t> </w:t>
            </w:r>
          </w:p>
        </w:tc>
        <w:tc>
          <w:tcPr>
            <w:tcW w:w="1176" w:type="dxa"/>
            <w:tcBorders>
              <w:left w:val="nil"/>
            </w:tcBorders>
          </w:tcPr>
          <w:p w14:paraId="006B22A9" w14:textId="77777777" w:rsidR="00DE6D0B" w:rsidRPr="004727AA" w:rsidRDefault="00DE6D0B" w:rsidP="00DE6D0B"/>
        </w:tc>
        <w:tc>
          <w:tcPr>
            <w:tcW w:w="1176" w:type="dxa"/>
            <w:tcBorders>
              <w:left w:val="nil"/>
            </w:tcBorders>
          </w:tcPr>
          <w:p w14:paraId="291D50BA" w14:textId="77777777" w:rsidR="00DE6D0B" w:rsidRPr="004727AA" w:rsidRDefault="00DE6D0B" w:rsidP="00DE6D0B"/>
        </w:tc>
        <w:tc>
          <w:tcPr>
            <w:tcW w:w="1176" w:type="dxa"/>
            <w:tcBorders>
              <w:left w:val="nil"/>
            </w:tcBorders>
          </w:tcPr>
          <w:p w14:paraId="64AEA88D" w14:textId="77777777" w:rsidR="00DE6D0B" w:rsidRPr="004727AA" w:rsidRDefault="00DE6D0B" w:rsidP="00DE6D0B"/>
        </w:tc>
        <w:tc>
          <w:tcPr>
            <w:tcW w:w="1176" w:type="dxa"/>
            <w:tcBorders>
              <w:left w:val="nil"/>
            </w:tcBorders>
          </w:tcPr>
          <w:p w14:paraId="1B852708" w14:textId="77777777" w:rsidR="00DE6D0B" w:rsidRPr="004727AA" w:rsidRDefault="00DE6D0B" w:rsidP="00DE6D0B"/>
        </w:tc>
        <w:tc>
          <w:tcPr>
            <w:tcW w:w="1177" w:type="dxa"/>
            <w:tcBorders>
              <w:left w:val="nil"/>
            </w:tcBorders>
          </w:tcPr>
          <w:p w14:paraId="5E371068" w14:textId="77777777" w:rsidR="00DE6D0B" w:rsidRPr="004727AA" w:rsidRDefault="00DE6D0B" w:rsidP="00DE6D0B"/>
        </w:tc>
      </w:tr>
      <w:tr w:rsidR="00DE6D0B" w:rsidRPr="004727AA" w14:paraId="04FB34EF" w14:textId="77777777" w:rsidTr="002B0316">
        <w:trPr>
          <w:trHeight w:val="300"/>
        </w:trPr>
        <w:tc>
          <w:tcPr>
            <w:tcW w:w="1268" w:type="dxa"/>
            <w:noWrap/>
            <w:hideMark/>
          </w:tcPr>
          <w:p w14:paraId="3F712C3E" w14:textId="77777777" w:rsidR="00DE6D0B" w:rsidRPr="004727AA" w:rsidRDefault="00DE6D0B" w:rsidP="00DE6D0B">
            <w:pPr>
              <w:jc w:val="center"/>
            </w:pPr>
            <w:r w:rsidRPr="004727AA">
              <w:rPr>
                <w:i/>
              </w:rPr>
              <w:t>i</w:t>
            </w:r>
            <w:r w:rsidRPr="004727AA">
              <w:t xml:space="preserve"> = 22</w:t>
            </w:r>
          </w:p>
        </w:tc>
        <w:tc>
          <w:tcPr>
            <w:tcW w:w="3028" w:type="dxa"/>
            <w:tcBorders>
              <w:right w:val="nil"/>
            </w:tcBorders>
            <w:noWrap/>
            <w:hideMark/>
          </w:tcPr>
          <w:p w14:paraId="73BB0FE0" w14:textId="77777777" w:rsidR="00DE6D0B" w:rsidRPr="004727AA" w:rsidRDefault="00DE6D0B" w:rsidP="00DE6D0B">
            <w:r w:rsidRPr="004727AA">
              <w:t>Zisk</w:t>
            </w:r>
          </w:p>
        </w:tc>
        <w:tc>
          <w:tcPr>
            <w:tcW w:w="1266" w:type="dxa"/>
            <w:tcBorders>
              <w:left w:val="nil"/>
              <w:right w:val="nil"/>
            </w:tcBorders>
            <w:noWrap/>
            <w:hideMark/>
          </w:tcPr>
          <w:p w14:paraId="6A5D095F" w14:textId="77777777" w:rsidR="00DE6D0B" w:rsidRPr="004727AA" w:rsidRDefault="00DE6D0B" w:rsidP="00DE6D0B">
            <w:r w:rsidRPr="004727AA">
              <w:t> </w:t>
            </w:r>
          </w:p>
        </w:tc>
        <w:tc>
          <w:tcPr>
            <w:tcW w:w="2266" w:type="dxa"/>
            <w:tcBorders>
              <w:left w:val="nil"/>
            </w:tcBorders>
            <w:noWrap/>
            <w:hideMark/>
          </w:tcPr>
          <w:p w14:paraId="0E3D6B3D" w14:textId="77777777" w:rsidR="00DE6D0B" w:rsidRPr="004727AA" w:rsidRDefault="00DE6D0B" w:rsidP="00DE6D0B">
            <w:r w:rsidRPr="004727AA">
              <w:t> </w:t>
            </w:r>
          </w:p>
        </w:tc>
        <w:tc>
          <w:tcPr>
            <w:tcW w:w="1176" w:type="dxa"/>
            <w:tcBorders>
              <w:left w:val="nil"/>
            </w:tcBorders>
          </w:tcPr>
          <w:p w14:paraId="6547C1F3" w14:textId="77777777" w:rsidR="00DE6D0B" w:rsidRPr="004727AA" w:rsidRDefault="00DE6D0B" w:rsidP="00DE6D0B"/>
        </w:tc>
        <w:tc>
          <w:tcPr>
            <w:tcW w:w="1176" w:type="dxa"/>
            <w:tcBorders>
              <w:left w:val="nil"/>
            </w:tcBorders>
          </w:tcPr>
          <w:p w14:paraId="0CE8695D" w14:textId="77777777" w:rsidR="00DE6D0B" w:rsidRPr="004727AA" w:rsidRDefault="00DE6D0B" w:rsidP="00DE6D0B"/>
        </w:tc>
        <w:tc>
          <w:tcPr>
            <w:tcW w:w="1176" w:type="dxa"/>
            <w:tcBorders>
              <w:left w:val="nil"/>
            </w:tcBorders>
          </w:tcPr>
          <w:p w14:paraId="4B1EBF58" w14:textId="77777777" w:rsidR="00DE6D0B" w:rsidRPr="004727AA" w:rsidRDefault="00DE6D0B" w:rsidP="00DE6D0B"/>
        </w:tc>
        <w:tc>
          <w:tcPr>
            <w:tcW w:w="1176" w:type="dxa"/>
            <w:tcBorders>
              <w:left w:val="nil"/>
            </w:tcBorders>
          </w:tcPr>
          <w:p w14:paraId="759F7366" w14:textId="77777777" w:rsidR="00DE6D0B" w:rsidRPr="004727AA" w:rsidRDefault="00DE6D0B" w:rsidP="00DE6D0B"/>
        </w:tc>
        <w:tc>
          <w:tcPr>
            <w:tcW w:w="1177" w:type="dxa"/>
            <w:tcBorders>
              <w:left w:val="nil"/>
            </w:tcBorders>
          </w:tcPr>
          <w:p w14:paraId="011B077F" w14:textId="77777777" w:rsidR="00DE6D0B" w:rsidRPr="004727AA" w:rsidRDefault="00DE6D0B" w:rsidP="00DE6D0B"/>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5E07D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5E07D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5E07D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DD541C">
        <w:trPr>
          <w:trHeight w:val="300"/>
        </w:trPr>
        <w:tc>
          <w:tcPr>
            <w:tcW w:w="1268" w:type="dxa"/>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DE6D0B" w:rsidRPr="004727AA" w14:paraId="60FA5597" w14:textId="77777777" w:rsidTr="00DD541C">
        <w:trPr>
          <w:trHeight w:val="300"/>
        </w:trPr>
        <w:tc>
          <w:tcPr>
            <w:tcW w:w="1268" w:type="dxa"/>
            <w:noWrap/>
          </w:tcPr>
          <w:p w14:paraId="6717EB66" w14:textId="375E8EA0" w:rsidR="00DE6D0B" w:rsidRPr="004727AA" w:rsidRDefault="00DE6D0B" w:rsidP="00DE6D0B">
            <w:pPr>
              <w:jc w:val="center"/>
              <w:rPr>
                <w:i/>
              </w:rPr>
            </w:pPr>
            <w:r w:rsidRPr="004727AA">
              <w:rPr>
                <w:i/>
              </w:rPr>
              <w:t>i</w:t>
            </w:r>
            <w:r w:rsidRPr="004727AA">
              <w:t xml:space="preserve"> = 12</w:t>
            </w:r>
          </w:p>
        </w:tc>
        <w:tc>
          <w:tcPr>
            <w:tcW w:w="6560" w:type="dxa"/>
            <w:gridSpan w:val="3"/>
            <w:noWrap/>
          </w:tcPr>
          <w:p w14:paraId="1BAE8B6A" w14:textId="41924FBD" w:rsidR="00DE6D0B" w:rsidRPr="004727AA" w:rsidRDefault="00DE6D0B" w:rsidP="00DE6D0B">
            <w:r w:rsidRPr="004727AA">
              <w:t>Ostatní přímé náklady</w:t>
            </w:r>
          </w:p>
        </w:tc>
        <w:tc>
          <w:tcPr>
            <w:tcW w:w="1169" w:type="dxa"/>
          </w:tcPr>
          <w:p w14:paraId="12270F71" w14:textId="3F92520D" w:rsidR="00DE6D0B" w:rsidRPr="004727AA" w:rsidRDefault="00DE6D0B" w:rsidP="00DE6D0B">
            <w:pPr>
              <w:jc w:val="right"/>
            </w:pPr>
            <w:r w:rsidRPr="004727AA">
              <w:t>%</w:t>
            </w:r>
          </w:p>
        </w:tc>
        <w:tc>
          <w:tcPr>
            <w:tcW w:w="1169" w:type="dxa"/>
          </w:tcPr>
          <w:p w14:paraId="7F8822C9" w14:textId="6B629104" w:rsidR="00DE6D0B" w:rsidRPr="004727AA" w:rsidRDefault="00DE6D0B" w:rsidP="00DE6D0B">
            <w:pPr>
              <w:jc w:val="right"/>
            </w:pPr>
            <w:r w:rsidRPr="004727AA">
              <w:t>%</w:t>
            </w:r>
          </w:p>
        </w:tc>
        <w:tc>
          <w:tcPr>
            <w:tcW w:w="1169" w:type="dxa"/>
          </w:tcPr>
          <w:p w14:paraId="24AB76D3" w14:textId="3F622D8E" w:rsidR="00DE6D0B" w:rsidRPr="004727AA" w:rsidRDefault="00DE6D0B" w:rsidP="00DE6D0B">
            <w:pPr>
              <w:jc w:val="right"/>
            </w:pPr>
            <w:r w:rsidRPr="004727AA">
              <w:t>%</w:t>
            </w:r>
          </w:p>
        </w:tc>
      </w:tr>
      <w:tr w:rsidR="00DE6D0B" w:rsidRPr="004727AA" w14:paraId="1E741574" w14:textId="72C59D79" w:rsidTr="00DD541C">
        <w:trPr>
          <w:trHeight w:val="300"/>
        </w:trPr>
        <w:tc>
          <w:tcPr>
            <w:tcW w:w="1268" w:type="dxa"/>
            <w:noWrap/>
            <w:hideMark/>
          </w:tcPr>
          <w:p w14:paraId="5D9FC94B" w14:textId="77777777" w:rsidR="00DE6D0B" w:rsidRPr="004727AA" w:rsidRDefault="00DE6D0B" w:rsidP="00DE6D0B">
            <w:pPr>
              <w:jc w:val="center"/>
            </w:pPr>
            <w:r w:rsidRPr="004727AA">
              <w:rPr>
                <w:i/>
              </w:rPr>
              <w:t>i</w:t>
            </w:r>
            <w:r w:rsidRPr="004727AA">
              <w:t xml:space="preserve"> = 13</w:t>
            </w:r>
          </w:p>
        </w:tc>
        <w:tc>
          <w:tcPr>
            <w:tcW w:w="3028" w:type="dxa"/>
            <w:tcBorders>
              <w:right w:val="nil"/>
            </w:tcBorders>
            <w:noWrap/>
            <w:hideMark/>
          </w:tcPr>
          <w:p w14:paraId="55FA3796" w14:textId="77777777" w:rsidR="00DE6D0B" w:rsidRPr="004727AA" w:rsidRDefault="00DE6D0B" w:rsidP="00DE6D0B">
            <w:r w:rsidRPr="004727AA">
              <w:t>Ostatní služby</w:t>
            </w:r>
          </w:p>
        </w:tc>
        <w:tc>
          <w:tcPr>
            <w:tcW w:w="1266" w:type="dxa"/>
            <w:tcBorders>
              <w:left w:val="nil"/>
              <w:right w:val="nil"/>
            </w:tcBorders>
            <w:noWrap/>
            <w:hideMark/>
          </w:tcPr>
          <w:p w14:paraId="7B335133" w14:textId="77777777" w:rsidR="00DE6D0B" w:rsidRPr="004727AA" w:rsidRDefault="00DE6D0B" w:rsidP="00DE6D0B">
            <w:r w:rsidRPr="004727AA">
              <w:t> </w:t>
            </w:r>
          </w:p>
        </w:tc>
        <w:tc>
          <w:tcPr>
            <w:tcW w:w="2266" w:type="dxa"/>
            <w:tcBorders>
              <w:left w:val="nil"/>
            </w:tcBorders>
            <w:noWrap/>
            <w:hideMark/>
          </w:tcPr>
          <w:p w14:paraId="7ABF1E50" w14:textId="77777777" w:rsidR="00DE6D0B" w:rsidRPr="004727AA" w:rsidRDefault="00DE6D0B" w:rsidP="00DE6D0B">
            <w:r w:rsidRPr="004727AA">
              <w:t> </w:t>
            </w:r>
          </w:p>
        </w:tc>
        <w:tc>
          <w:tcPr>
            <w:tcW w:w="1169" w:type="dxa"/>
            <w:tcBorders>
              <w:left w:val="nil"/>
            </w:tcBorders>
          </w:tcPr>
          <w:p w14:paraId="10FAEEF5" w14:textId="77777777" w:rsidR="00DE6D0B" w:rsidRPr="004727AA" w:rsidRDefault="00DE6D0B" w:rsidP="00DE6D0B">
            <w:pPr>
              <w:jc w:val="right"/>
            </w:pPr>
            <w:r w:rsidRPr="004727AA">
              <w:t>%</w:t>
            </w:r>
          </w:p>
        </w:tc>
        <w:tc>
          <w:tcPr>
            <w:tcW w:w="1169" w:type="dxa"/>
            <w:tcBorders>
              <w:left w:val="nil"/>
            </w:tcBorders>
          </w:tcPr>
          <w:p w14:paraId="05ADE547" w14:textId="77777777" w:rsidR="00DE6D0B" w:rsidRPr="004727AA" w:rsidRDefault="00DE6D0B" w:rsidP="00DE6D0B">
            <w:pPr>
              <w:jc w:val="right"/>
            </w:pPr>
            <w:r w:rsidRPr="004727AA">
              <w:t>%</w:t>
            </w:r>
          </w:p>
        </w:tc>
        <w:tc>
          <w:tcPr>
            <w:tcW w:w="1169" w:type="dxa"/>
            <w:tcBorders>
              <w:left w:val="nil"/>
            </w:tcBorders>
          </w:tcPr>
          <w:p w14:paraId="7B419813" w14:textId="77777777" w:rsidR="00DE6D0B" w:rsidRPr="004727AA" w:rsidRDefault="00DE6D0B" w:rsidP="00DE6D0B">
            <w:pPr>
              <w:jc w:val="right"/>
            </w:pPr>
            <w:r w:rsidRPr="004727AA">
              <w:t>%</w:t>
            </w:r>
          </w:p>
        </w:tc>
      </w:tr>
      <w:tr w:rsidR="00DE6D0B" w:rsidRPr="004727AA" w14:paraId="793D757D" w14:textId="38EFDC1C" w:rsidTr="00DD541C">
        <w:trPr>
          <w:trHeight w:val="300"/>
        </w:trPr>
        <w:tc>
          <w:tcPr>
            <w:tcW w:w="1268" w:type="dxa"/>
            <w:noWrap/>
            <w:hideMark/>
          </w:tcPr>
          <w:p w14:paraId="6667C30D" w14:textId="77777777" w:rsidR="00DE6D0B" w:rsidRPr="004727AA" w:rsidRDefault="00DE6D0B" w:rsidP="00DE6D0B">
            <w:pPr>
              <w:jc w:val="center"/>
            </w:pPr>
            <w:r w:rsidRPr="004727AA">
              <w:rPr>
                <w:i/>
              </w:rPr>
              <w:t>i</w:t>
            </w:r>
            <w:r w:rsidRPr="004727AA">
              <w:t xml:space="preserve"> = 14</w:t>
            </w:r>
          </w:p>
        </w:tc>
        <w:tc>
          <w:tcPr>
            <w:tcW w:w="3028" w:type="dxa"/>
            <w:tcBorders>
              <w:right w:val="nil"/>
            </w:tcBorders>
            <w:noWrap/>
            <w:hideMark/>
          </w:tcPr>
          <w:p w14:paraId="35B2C79A" w14:textId="77777777" w:rsidR="00DE6D0B" w:rsidRPr="004727AA" w:rsidRDefault="00DE6D0B" w:rsidP="00DE6D0B">
            <w:r w:rsidRPr="004727AA">
              <w:t>Provozní režie</w:t>
            </w:r>
          </w:p>
        </w:tc>
        <w:tc>
          <w:tcPr>
            <w:tcW w:w="1266" w:type="dxa"/>
            <w:tcBorders>
              <w:left w:val="nil"/>
              <w:right w:val="nil"/>
            </w:tcBorders>
            <w:noWrap/>
            <w:hideMark/>
          </w:tcPr>
          <w:p w14:paraId="26A03EC8" w14:textId="77777777" w:rsidR="00DE6D0B" w:rsidRPr="004727AA" w:rsidRDefault="00DE6D0B" w:rsidP="00DE6D0B">
            <w:r w:rsidRPr="004727AA">
              <w:t> </w:t>
            </w:r>
          </w:p>
        </w:tc>
        <w:tc>
          <w:tcPr>
            <w:tcW w:w="2266" w:type="dxa"/>
            <w:tcBorders>
              <w:left w:val="nil"/>
            </w:tcBorders>
            <w:noWrap/>
            <w:hideMark/>
          </w:tcPr>
          <w:p w14:paraId="6C953E58" w14:textId="77777777" w:rsidR="00DE6D0B" w:rsidRPr="004727AA" w:rsidRDefault="00DE6D0B" w:rsidP="00DE6D0B">
            <w:r w:rsidRPr="004727AA">
              <w:t> </w:t>
            </w:r>
          </w:p>
        </w:tc>
        <w:tc>
          <w:tcPr>
            <w:tcW w:w="1169" w:type="dxa"/>
            <w:tcBorders>
              <w:left w:val="nil"/>
            </w:tcBorders>
          </w:tcPr>
          <w:p w14:paraId="34859EF2" w14:textId="77777777" w:rsidR="00DE6D0B" w:rsidRPr="004727AA" w:rsidRDefault="00DE6D0B" w:rsidP="00DE6D0B">
            <w:pPr>
              <w:jc w:val="right"/>
            </w:pPr>
            <w:r w:rsidRPr="004727AA">
              <w:t>%</w:t>
            </w:r>
          </w:p>
        </w:tc>
        <w:tc>
          <w:tcPr>
            <w:tcW w:w="1169" w:type="dxa"/>
            <w:tcBorders>
              <w:left w:val="nil"/>
            </w:tcBorders>
          </w:tcPr>
          <w:p w14:paraId="052F6FD3" w14:textId="77777777" w:rsidR="00DE6D0B" w:rsidRPr="004727AA" w:rsidRDefault="00DE6D0B" w:rsidP="00DE6D0B">
            <w:pPr>
              <w:jc w:val="right"/>
            </w:pPr>
            <w:r w:rsidRPr="004727AA">
              <w:t>%</w:t>
            </w:r>
          </w:p>
        </w:tc>
        <w:tc>
          <w:tcPr>
            <w:tcW w:w="1169" w:type="dxa"/>
            <w:tcBorders>
              <w:left w:val="nil"/>
            </w:tcBorders>
          </w:tcPr>
          <w:p w14:paraId="07E1B731" w14:textId="77777777" w:rsidR="00DE6D0B" w:rsidRPr="004727AA" w:rsidRDefault="00DE6D0B" w:rsidP="00DE6D0B">
            <w:pPr>
              <w:jc w:val="right"/>
            </w:pPr>
            <w:r w:rsidRPr="004727AA">
              <w:t>%</w:t>
            </w:r>
          </w:p>
        </w:tc>
      </w:tr>
      <w:tr w:rsidR="00DE6D0B" w:rsidRPr="004727AA" w14:paraId="054F58E4" w14:textId="6322DB27" w:rsidTr="00DD541C">
        <w:trPr>
          <w:trHeight w:val="300"/>
        </w:trPr>
        <w:tc>
          <w:tcPr>
            <w:tcW w:w="1268" w:type="dxa"/>
            <w:noWrap/>
            <w:hideMark/>
          </w:tcPr>
          <w:p w14:paraId="45D1406F" w14:textId="77777777" w:rsidR="00DE6D0B" w:rsidRPr="004727AA" w:rsidRDefault="00DE6D0B" w:rsidP="00DE6D0B">
            <w:pPr>
              <w:jc w:val="center"/>
            </w:pPr>
            <w:r w:rsidRPr="004727AA">
              <w:rPr>
                <w:i/>
              </w:rPr>
              <w:t>i</w:t>
            </w:r>
            <w:r w:rsidRPr="004727AA">
              <w:t xml:space="preserve"> = 15</w:t>
            </w:r>
          </w:p>
        </w:tc>
        <w:tc>
          <w:tcPr>
            <w:tcW w:w="3028" w:type="dxa"/>
            <w:tcBorders>
              <w:right w:val="nil"/>
            </w:tcBorders>
            <w:noWrap/>
            <w:hideMark/>
          </w:tcPr>
          <w:p w14:paraId="07A1BE44" w14:textId="77777777" w:rsidR="00DE6D0B" w:rsidRPr="004727AA" w:rsidRDefault="00DE6D0B" w:rsidP="00DE6D0B">
            <w:r w:rsidRPr="004727AA">
              <w:t>Správní režie</w:t>
            </w:r>
          </w:p>
        </w:tc>
        <w:tc>
          <w:tcPr>
            <w:tcW w:w="1266" w:type="dxa"/>
            <w:tcBorders>
              <w:left w:val="nil"/>
              <w:right w:val="nil"/>
            </w:tcBorders>
            <w:noWrap/>
            <w:hideMark/>
          </w:tcPr>
          <w:p w14:paraId="630CE54F" w14:textId="77777777" w:rsidR="00DE6D0B" w:rsidRPr="004727AA" w:rsidRDefault="00DE6D0B" w:rsidP="00DE6D0B">
            <w:r w:rsidRPr="004727AA">
              <w:t> </w:t>
            </w:r>
          </w:p>
        </w:tc>
        <w:tc>
          <w:tcPr>
            <w:tcW w:w="2266" w:type="dxa"/>
            <w:tcBorders>
              <w:left w:val="nil"/>
            </w:tcBorders>
            <w:noWrap/>
            <w:hideMark/>
          </w:tcPr>
          <w:p w14:paraId="00C5E0CB" w14:textId="77777777" w:rsidR="00DE6D0B" w:rsidRPr="004727AA" w:rsidRDefault="00DE6D0B" w:rsidP="00DE6D0B">
            <w:r w:rsidRPr="004727AA">
              <w:t> </w:t>
            </w:r>
          </w:p>
        </w:tc>
        <w:tc>
          <w:tcPr>
            <w:tcW w:w="1169" w:type="dxa"/>
            <w:tcBorders>
              <w:left w:val="nil"/>
            </w:tcBorders>
          </w:tcPr>
          <w:p w14:paraId="424D7E19" w14:textId="77777777" w:rsidR="00DE6D0B" w:rsidRPr="004727AA" w:rsidRDefault="00DE6D0B" w:rsidP="00DE6D0B">
            <w:pPr>
              <w:jc w:val="right"/>
            </w:pPr>
            <w:r w:rsidRPr="004727AA">
              <w:t>%</w:t>
            </w:r>
          </w:p>
        </w:tc>
        <w:tc>
          <w:tcPr>
            <w:tcW w:w="1169" w:type="dxa"/>
            <w:tcBorders>
              <w:left w:val="nil"/>
            </w:tcBorders>
          </w:tcPr>
          <w:p w14:paraId="31EB6152" w14:textId="77777777" w:rsidR="00DE6D0B" w:rsidRPr="004727AA" w:rsidRDefault="00DE6D0B" w:rsidP="00DE6D0B">
            <w:pPr>
              <w:jc w:val="right"/>
            </w:pPr>
            <w:r w:rsidRPr="004727AA">
              <w:t>%</w:t>
            </w:r>
          </w:p>
        </w:tc>
        <w:tc>
          <w:tcPr>
            <w:tcW w:w="1169" w:type="dxa"/>
            <w:tcBorders>
              <w:left w:val="nil"/>
            </w:tcBorders>
          </w:tcPr>
          <w:p w14:paraId="2E015CBC" w14:textId="77777777" w:rsidR="00DE6D0B" w:rsidRPr="004727AA" w:rsidRDefault="00DE6D0B" w:rsidP="00DE6D0B">
            <w:pPr>
              <w:jc w:val="right"/>
            </w:pPr>
            <w:r w:rsidRPr="004727AA">
              <w:t>%</w:t>
            </w:r>
          </w:p>
        </w:tc>
      </w:tr>
      <w:tr w:rsidR="00DE6D0B" w:rsidRPr="004727AA" w14:paraId="262F9292" w14:textId="2FA6CC03" w:rsidTr="00DD541C">
        <w:trPr>
          <w:trHeight w:val="300"/>
        </w:trPr>
        <w:tc>
          <w:tcPr>
            <w:tcW w:w="1268" w:type="dxa"/>
            <w:noWrap/>
            <w:hideMark/>
          </w:tcPr>
          <w:p w14:paraId="5011C5F8" w14:textId="77777777" w:rsidR="00DE6D0B" w:rsidRPr="004727AA" w:rsidRDefault="00DE6D0B" w:rsidP="00DE6D0B">
            <w:pPr>
              <w:jc w:val="center"/>
            </w:pPr>
            <w:r w:rsidRPr="004727AA">
              <w:rPr>
                <w:i/>
              </w:rPr>
              <w:t>i</w:t>
            </w:r>
            <w:r w:rsidRPr="004727AA">
              <w:t xml:space="preserve"> = 22</w:t>
            </w:r>
          </w:p>
        </w:tc>
        <w:tc>
          <w:tcPr>
            <w:tcW w:w="3028" w:type="dxa"/>
            <w:tcBorders>
              <w:right w:val="nil"/>
            </w:tcBorders>
            <w:noWrap/>
            <w:hideMark/>
          </w:tcPr>
          <w:p w14:paraId="54E49C33" w14:textId="77777777" w:rsidR="00DE6D0B" w:rsidRPr="004727AA" w:rsidRDefault="00DE6D0B" w:rsidP="00DE6D0B">
            <w:r w:rsidRPr="004727AA">
              <w:t>Zisk</w:t>
            </w:r>
          </w:p>
        </w:tc>
        <w:tc>
          <w:tcPr>
            <w:tcW w:w="1266" w:type="dxa"/>
            <w:tcBorders>
              <w:left w:val="nil"/>
              <w:right w:val="nil"/>
            </w:tcBorders>
            <w:noWrap/>
            <w:hideMark/>
          </w:tcPr>
          <w:p w14:paraId="614939F3" w14:textId="77777777" w:rsidR="00DE6D0B" w:rsidRPr="004727AA" w:rsidRDefault="00DE6D0B" w:rsidP="00DE6D0B">
            <w:r w:rsidRPr="004727AA">
              <w:t> </w:t>
            </w:r>
          </w:p>
        </w:tc>
        <w:tc>
          <w:tcPr>
            <w:tcW w:w="2266" w:type="dxa"/>
            <w:tcBorders>
              <w:left w:val="nil"/>
            </w:tcBorders>
            <w:noWrap/>
            <w:hideMark/>
          </w:tcPr>
          <w:p w14:paraId="51410EEB" w14:textId="77777777" w:rsidR="00DE6D0B" w:rsidRPr="004727AA" w:rsidRDefault="00DE6D0B" w:rsidP="00DE6D0B">
            <w:r w:rsidRPr="004727AA">
              <w:t> </w:t>
            </w:r>
          </w:p>
        </w:tc>
        <w:tc>
          <w:tcPr>
            <w:tcW w:w="1169" w:type="dxa"/>
            <w:tcBorders>
              <w:left w:val="nil"/>
            </w:tcBorders>
          </w:tcPr>
          <w:p w14:paraId="47E63FF0" w14:textId="77777777" w:rsidR="00DE6D0B" w:rsidRPr="004727AA" w:rsidRDefault="00DE6D0B" w:rsidP="00DE6D0B">
            <w:pPr>
              <w:jc w:val="right"/>
            </w:pPr>
            <w:r w:rsidRPr="004727AA">
              <w:t>%</w:t>
            </w:r>
          </w:p>
        </w:tc>
        <w:tc>
          <w:tcPr>
            <w:tcW w:w="1169" w:type="dxa"/>
            <w:tcBorders>
              <w:left w:val="nil"/>
            </w:tcBorders>
          </w:tcPr>
          <w:p w14:paraId="672FA99C" w14:textId="77777777" w:rsidR="00DE6D0B" w:rsidRPr="004727AA" w:rsidRDefault="00DE6D0B" w:rsidP="00DE6D0B">
            <w:pPr>
              <w:jc w:val="right"/>
            </w:pPr>
            <w:r w:rsidRPr="004727AA">
              <w:t>%</w:t>
            </w:r>
          </w:p>
        </w:tc>
        <w:tc>
          <w:tcPr>
            <w:tcW w:w="1169" w:type="dxa"/>
            <w:tcBorders>
              <w:left w:val="nil"/>
            </w:tcBorders>
          </w:tcPr>
          <w:p w14:paraId="2A8AB431" w14:textId="77777777" w:rsidR="00DE6D0B" w:rsidRPr="004727AA" w:rsidRDefault="00DE6D0B" w:rsidP="00DE6D0B">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154A729F" w:rsidR="00011F29" w:rsidRPr="00D92ADA" w:rsidRDefault="005E07D0"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5E07D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0" w:name="_Ref19182942"/>
      <w:r>
        <w:lastRenderedPageBreak/>
        <w:t xml:space="preserve">Výchozí </w:t>
      </w:r>
      <w:r w:rsidR="00A04ACA">
        <w:t xml:space="preserve">provozní </w:t>
      </w:r>
      <w:r>
        <w:t>předpoklady</w:t>
      </w:r>
      <w:bookmarkEnd w:id="0"/>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6C16650" w:rsidR="000C2D2F" w:rsidRPr="004727AA" w:rsidRDefault="000C2D2F" w:rsidP="000C2D2F">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t>K</w:t>
      </w:r>
      <w:r w:rsidRPr="004727AA">
        <w:t xml:space="preserve">3) </w:t>
      </w:r>
      <w:r w:rsidR="00C81FDE">
        <w:t>vstupuje</w:t>
      </w:r>
      <w:r w:rsidRPr="004727AA">
        <w:t xml:space="preserve"> přímo </w:t>
      </w:r>
      <w:r w:rsidR="00C81FDE">
        <w:t>do</w:t>
      </w:r>
      <w:r w:rsidRPr="004727AA">
        <w:t xml:space="preserve"> Výchozího finančního modelu (buňky </w:t>
      </w:r>
      <w:r w:rsidR="00D25542">
        <w:t>G</w:t>
      </w:r>
      <w:r w:rsidRPr="004727AA">
        <w:t>25:</w:t>
      </w:r>
      <w:r w:rsidR="00D25542">
        <w:t>P</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77777777" w:rsidR="000C2D2F" w:rsidRPr="004727AA" w:rsidRDefault="000C2D2F" w:rsidP="000C2D2F">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t>K</w:t>
      </w:r>
      <w:r w:rsidRPr="004727AA">
        <w:t xml:space="preserve">4) představuje Dopravní výkon, který je dle Jízdního řádu v Zadávací dokumentaci zajištěn jednou vlakovou jednotkou </w:t>
      </w:r>
    </w:p>
    <w:p w14:paraId="3EAE4F8D" w14:textId="77777777" w:rsidR="000C2D2F" w:rsidRPr="004727AA" w:rsidRDefault="000C2D2F" w:rsidP="000C2D2F">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t>K</w:t>
      </w:r>
      <w:r w:rsidRPr="004727AA">
        <w:t>5) představuje Dopravní výkon, který je dle Jízdního řádu v Zadávací dokumentaci zajištěn soupravou dvou vlakových jednotek</w:t>
      </w:r>
    </w:p>
    <w:p w14:paraId="402EA273" w14:textId="77777777" w:rsidR="000C2D2F" w:rsidRPr="004727AA" w:rsidRDefault="000C2D2F" w:rsidP="000C2D2F">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t>K</w:t>
      </w:r>
      <w:r w:rsidRPr="004727AA">
        <w:t>6) představuje Dopravní výkon, který je dle Jízdního řádu v Zadávací dokumentaci zajištěn soupravou tří vlakových jednotek</w:t>
      </w:r>
    </w:p>
    <w:p w14:paraId="05938A55" w14:textId="2E4B8510" w:rsidR="00B70438" w:rsidRPr="00B70438" w:rsidRDefault="000C2D2F" w:rsidP="00B70438">
      <w:pPr>
        <w:pStyle w:val="Odstavecseseznamem"/>
        <w:numPr>
          <w:ilvl w:val="0"/>
          <w:numId w:val="17"/>
        </w:numPr>
      </w:pPr>
      <w:r w:rsidRPr="004727AA">
        <w:t>Výchozí počet vlakových jednotek [#] (v buňkách B7:</w:t>
      </w:r>
      <w:r>
        <w:t>K</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1" w:name="_Ref513114101"/>
      <w:bookmarkStart w:id="2" w:name="_Ref515629987"/>
      <w:r w:rsidRPr="004727AA">
        <w:t>Výchozí finanční model</w:t>
      </w:r>
      <w:bookmarkEnd w:id="1"/>
      <w:bookmarkEnd w:id="2"/>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57366E29" w:rsidR="000C1FCD" w:rsidRPr="004727AA" w:rsidRDefault="000C1FCD" w:rsidP="00EE198E">
      <w:r w:rsidRPr="004727AA">
        <w:t xml:space="preserve">Dopravce </w:t>
      </w:r>
      <w:r w:rsidR="00B75E4D" w:rsidRPr="004727AA">
        <w:t xml:space="preserve">ve Výchozím finančním modelu </w:t>
      </w:r>
      <w:r w:rsidRPr="004727AA">
        <w:t>zadává Cenotvorné položky v cenové úrovni roku 20</w:t>
      </w:r>
      <w:r w:rsidR="00B8724F">
        <w:t>20</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3C3F45">
        <w:t>G</w:t>
      </w:r>
      <w:r w:rsidR="00B75E4D" w:rsidRPr="004727AA">
        <w:t>3:</w:t>
      </w:r>
      <w:r w:rsidR="003C3F45">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1C943E4E"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336EF8">
        <w:t>S</w:t>
      </w:r>
      <w:r w:rsidR="00404745" w:rsidRPr="004727AA">
        <w:t>3:</w:t>
      </w:r>
      <w:r w:rsidR="00336EF8">
        <w:t>T</w:t>
      </w:r>
      <w:r w:rsidR="00404745" w:rsidRPr="004727AA">
        <w:t>23)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4D3B7D2D"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336EF8">
        <w:t>G</w:t>
      </w:r>
      <w:r w:rsidR="0089298F" w:rsidRPr="004727AA">
        <w:t>26:</w:t>
      </w:r>
      <w:r w:rsidR="00336EF8">
        <w:t>P</w:t>
      </w:r>
      <w:r w:rsidR="0089298F" w:rsidRPr="004727AA">
        <w:t xml:space="preserve">26, průměrná hodnota v buňce </w:t>
      </w:r>
      <w:r w:rsidR="00336EF8">
        <w:t>R</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EB946F8"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5E07D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proofErr w:type="spellStart"/>
      <w:r w:rsidR="00C6203F">
        <w:t>tis.</w:t>
      </w:r>
      <w:r w:rsidR="00D06B66" w:rsidRPr="004727AA">
        <w:t>Kč</w:t>
      </w:r>
      <w:proofErr w:type="spellEnd"/>
      <w:r w:rsidR="00D06B66" w:rsidRPr="004727AA">
        <w:t xml:space="preserve">]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w:t>
      </w:r>
      <w:proofErr w:type="gramStart"/>
      <w:r w:rsidR="00F91A3F">
        <w:t>1,2 násobek</w:t>
      </w:r>
      <w:proofErr w:type="gramEnd"/>
      <w:r w:rsidR="00F91A3F">
        <w:t xml:space="preserve">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5E07D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proofErr w:type="spellStart"/>
      <w:proofErr w:type="gramStart"/>
      <w:r w:rsidR="00C6203F">
        <w:t>tis.</w:t>
      </w:r>
      <w:r w:rsidR="00280119" w:rsidRPr="004727AA">
        <w:t>Kč</w:t>
      </w:r>
      <w:proofErr w:type="spellEnd"/>
      <w:proofErr w:type="gramEnd"/>
      <w:r w:rsidR="00280119" w:rsidRPr="004727AA">
        <w:t>]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proofErr w:type="spellStart"/>
      <w:proofErr w:type="gramStart"/>
      <w:r w:rsidR="00477849">
        <w:t>tis.</w:t>
      </w:r>
      <w:r w:rsidRPr="004727AA">
        <w:t>Kč</w:t>
      </w:r>
      <w:proofErr w:type="spellEnd"/>
      <w:proofErr w:type="gramEnd"/>
      <w:r w:rsidRPr="004727AA">
        <w:t>]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5E07D0"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[Kč/</w:t>
      </w:r>
      <w:proofErr w:type="spellStart"/>
      <w:r w:rsidRPr="004727AA">
        <w:t>vlkm</w:t>
      </w:r>
      <w:proofErr w:type="spellEnd"/>
      <w:r w:rsidRPr="004727AA">
        <w:t xml:space="preserve">]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Samotná Nabídková cena [Kč/</w:t>
      </w:r>
      <w:proofErr w:type="spellStart"/>
      <w:r w:rsidRPr="004727AA">
        <w:t>vlkm</w:t>
      </w:r>
      <w:proofErr w:type="spellEnd"/>
      <w:r w:rsidRPr="004727AA">
        <w:t xml:space="preserve">]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2DA7EB66"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426CD18"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465DAB7D"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j=12</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5E07D0"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5E07D0"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6FD3522B" w:rsidR="008B49EE" w:rsidRPr="004727AA" w:rsidRDefault="008B49EE" w:rsidP="00EE198E">
      <w:r w:rsidRPr="004727AA">
        <w:t>Do oranžově vyznačených buněk (v oblasti E3:</w:t>
      </w:r>
      <w:r w:rsidR="00950B84">
        <w:t>P</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6B16E0A0" w:rsidR="00E7311B" w:rsidRPr="004727AA" w:rsidRDefault="00E7311B" w:rsidP="00EE198E">
      <w:r w:rsidRPr="004727AA">
        <w:t>Pro Nabídkové řízení jsou na tomto listu Objednatelem vyplněny jen výchozí údaje Indexů pro cenovou úroveň 20</w:t>
      </w:r>
      <w:r w:rsidR="006A6AAE">
        <w:t>20</w:t>
      </w:r>
      <w:r w:rsidRPr="004727AA">
        <w:t xml:space="preserve"> (v buňkách E3:E23) v období 20</w:t>
      </w:r>
      <w:r w:rsidR="006A6AAE">
        <w:t>20</w:t>
      </w:r>
      <w:r w:rsidRPr="004727AA">
        <w:t>/</w:t>
      </w:r>
      <w:r w:rsidR="00C0577B">
        <w:t>2</w:t>
      </w:r>
      <w:r w:rsidR="006A6AAE">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6A6AAE">
        <w:t>ní</w:t>
      </w:r>
      <w:r w:rsidRPr="004727AA">
        <w:t xml:space="preserve"> prakticky využit</w:t>
      </w:r>
      <w:r w:rsidR="006A6AAE">
        <w:t>o</w:t>
      </w:r>
      <w:r w:rsidRPr="004727AA">
        <w:t xml:space="preserve"> ve výpočtech Finančního modelu, v tabulce j</w:t>
      </w:r>
      <w:r w:rsidR="00EE7EB2">
        <w:t>sou</w:t>
      </w:r>
      <w:r w:rsidRPr="004727AA">
        <w:t xml:space="preserve"> však uveden</w:t>
      </w:r>
      <w:r w:rsidR="00EE7EB2">
        <w:t>a</w:t>
      </w:r>
      <w:r w:rsidRPr="004727AA">
        <w:t xml:space="preserve"> pro úplnost časové řady Indexů.</w:t>
      </w:r>
    </w:p>
    <w:p w14:paraId="57AEE39B" w14:textId="1E0911D2" w:rsidR="0071190D" w:rsidRDefault="00E7311B" w:rsidP="00E7311B">
      <w:r w:rsidRPr="004727AA">
        <w:t xml:space="preserve">Objednatel rozhodl o přiřazení Indexů k Cenotvorným položkám podle názvu vedeného v příslušném řádku Cenotvorné položky (v buňkách </w:t>
      </w:r>
      <w:r w:rsidR="001A6344">
        <w:t>Q</w:t>
      </w:r>
      <w:r w:rsidRPr="004727AA">
        <w:t>3:</w:t>
      </w:r>
      <w:r w:rsidR="001A6344">
        <w:t>Q</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1A6344">
        <w:t>Q</w:t>
      </w:r>
      <w:r w:rsidR="0071190D" w:rsidRPr="004727AA">
        <w:t>3:</w:t>
      </w:r>
      <w:r w:rsidR="001A6344">
        <w:t>Q</w:t>
      </w:r>
      <w:r w:rsidR="0071190D" w:rsidRPr="004727AA">
        <w:t>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5E07D0" w:rsidP="00E7311B">
            <w:hyperlink r:id="rId14"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5E07D0" w:rsidP="00B2531B">
            <w:hyperlink r:id="rId15"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5E07D0" w:rsidP="00B2531B">
            <w:hyperlink r:id="rId16"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5E07D0" w:rsidP="00B2531B">
            <w:hyperlink r:id="rId17"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4" w:name="_Hlk523825246"/>
      <w:r w:rsidRPr="004727AA">
        <w:t>Doplněk</w:t>
      </w:r>
      <w:bookmarkEnd w:id="4"/>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1DD041D6"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 xml:space="preserve">správcem dráhy </w:t>
      </w:r>
    </w:p>
    <w:p w14:paraId="7C98CD0B" w14:textId="597A5E3F"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 xml:space="preserve">správcem dráhy </w:t>
      </w:r>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46D2058F" w14:textId="18361881"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04CBE3FE" w:rsidR="00EE198E" w:rsidRPr="004727AA" w:rsidRDefault="00EC2265" w:rsidP="00EE198E">
      <w:r w:rsidRPr="004727AA">
        <w:t>Aktualizovaný finanční model je vypočten za účelem aktualizace Výchozího finančního modelu</w:t>
      </w:r>
      <w:r w:rsidR="00B2531B" w:rsidRPr="004727AA">
        <w:t>. Tím se hodnoty Cenotvorných položek dostávají z jednotné cenové úrovně roku 20</w:t>
      </w:r>
      <w:r w:rsidR="0053315D">
        <w:t>20</w:t>
      </w:r>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0652107"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216410">
        <w:t>20</w:t>
      </w:r>
      <w:r w:rsidRPr="004727AA">
        <w:t>/</w:t>
      </w:r>
      <w:r w:rsidR="00380CC0">
        <w:t>2</w:t>
      </w:r>
      <w:r w:rsidR="0021641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8277E4C"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216410">
        <w:t>G</w:t>
      </w:r>
      <w:r w:rsidRPr="004727AA">
        <w:t>24:</w:t>
      </w:r>
      <w:r w:rsidR="00216410">
        <w:t>P</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w:lastRenderedPageBreak/>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5E07D0"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4581B100" w:rsidR="00936F4A" w:rsidRPr="004727AA" w:rsidRDefault="005E07D0"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832A77">
        <w:t>20</w:t>
      </w:r>
      <w:r w:rsidR="00936F4A" w:rsidRPr="004727AA">
        <w:t>/</w:t>
      </w:r>
      <w:r w:rsidR="003E2B11">
        <w:t>2</w:t>
      </w:r>
      <w:r w:rsidR="00832A77">
        <w:t>1</w:t>
      </w:r>
      <w:r w:rsidR="00936F4A" w:rsidRPr="004727AA">
        <w:t>)</w:t>
      </w:r>
    </w:p>
    <w:p w14:paraId="58A69592" w14:textId="7BD027E1" w:rsidR="00936F4A"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5E07D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2F50612" w:rsidR="00E175A0" w:rsidRPr="004727AA" w:rsidRDefault="00E175A0" w:rsidP="00E175A0">
      <w:r w:rsidRPr="004727AA">
        <w:t>Te</w:t>
      </w:r>
      <w:r w:rsidR="00725493" w:rsidRPr="004727AA">
        <w:t xml:space="preserve">nto list vychází z Aktualizovaného finančního modelu, avšak zobrazuje pouze hodnoty Cenotvorných položek přiřazené na Výkon. Toto přiřazení bylo provedeno násobením příslušné </w:t>
      </w:r>
      <w:r w:rsidR="00725493" w:rsidRPr="004727AA">
        <w:lastRenderedPageBreak/>
        <w:t>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E060EC">
        <w:t>S</w:t>
      </w:r>
      <w:r w:rsidR="00725493" w:rsidRPr="004727AA">
        <w:t>3:</w:t>
      </w:r>
      <w:r w:rsidR="00332826">
        <w:t>S</w:t>
      </w:r>
      <w:r w:rsidR="00332826" w:rsidRPr="004727AA">
        <w:t>2</w:t>
      </w:r>
      <w:r w:rsidR="00332826">
        <w:t>2</w:t>
      </w:r>
      <w:r w:rsidR="00332826" w:rsidRPr="004727AA">
        <w:t xml:space="preserve"> </w:t>
      </w:r>
      <w:r w:rsidR="00725493" w:rsidRPr="004727AA">
        <w:t>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5" w:name="_Hlk509394508"/>
      <w:r w:rsidRPr="004727AA">
        <w:t>proměnná s Dopravním výkonem</w:t>
      </w:r>
      <w:bookmarkEnd w:id="5"/>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7CC1164A"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E060EC">
        <w:t>T</w:t>
      </w:r>
      <w:r w:rsidRPr="004727AA">
        <w:t>3:</w:t>
      </w:r>
      <w:r w:rsidR="00332826">
        <w:t>T</w:t>
      </w:r>
      <w:r w:rsidR="00332826" w:rsidRPr="004727AA">
        <w:t>2</w:t>
      </w:r>
      <w:r w:rsidR="00332826">
        <w:t>2</w:t>
      </w:r>
      <w:r w:rsidR="00332826" w:rsidRPr="004727AA">
        <w:t xml:space="preserve"> </w:t>
      </w:r>
      <w:r w:rsidRPr="004727AA">
        <w:t>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732966AE"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E060EC">
        <w:t>U</w:t>
      </w:r>
      <w:r w:rsidRPr="004727AA">
        <w:t>3:</w:t>
      </w:r>
      <w:r w:rsidR="00332826">
        <w:t>U</w:t>
      </w:r>
      <w:r w:rsidR="00332826" w:rsidRPr="004727AA">
        <w:t>2</w:t>
      </w:r>
      <w:r w:rsidR="00332826">
        <w:t>2</w:t>
      </w:r>
      <w:r w:rsidR="00332826" w:rsidRPr="004727AA">
        <w:t xml:space="preserve"> </w:t>
      </w:r>
      <w:r w:rsidRPr="004727AA">
        <w:t>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lastRenderedPageBreak/>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6F348E4A"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w:t>
      </w:r>
      <w:r w:rsidR="00BD13A4">
        <w:t>21</w:t>
      </w:r>
      <w:r w:rsidR="008175AD" w:rsidRPr="004727AA">
        <w:t>:</w:t>
      </w:r>
      <w:r w:rsidR="00215B31">
        <w:t>K21</w:t>
      </w:r>
      <w:r w:rsidR="008175AD" w:rsidRPr="004727AA">
        <w:t>), kter</w:t>
      </w:r>
      <w:r w:rsidR="00215B31">
        <w:t>á</w:t>
      </w:r>
      <w:r w:rsidRPr="004727AA">
        <w:t xml:space="preserve"> se skládá ze složek:</w:t>
      </w:r>
    </w:p>
    <w:p w14:paraId="67150A57" w14:textId="76A1882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w:t>
      </w:r>
      <w:r w:rsidR="00D51FF3">
        <w:t>40</w:t>
      </w:r>
      <w:r w:rsidRPr="004727AA">
        <w:t>:</w:t>
      </w:r>
      <w:r w:rsidR="00D51FF3">
        <w:t>K40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D51FF3">
        <w:t>K39</w:t>
      </w:r>
      <w:r w:rsidR="008175AD" w:rsidRPr="004727AA">
        <w:t>)</w:t>
      </w:r>
    </w:p>
    <w:p w14:paraId="34E88CDC" w14:textId="3AD66671" w:rsidR="0089790C" w:rsidRPr="004727AA" w:rsidRDefault="0089790C" w:rsidP="00E23998">
      <w:pPr>
        <w:pStyle w:val="Odstavecseseznamem"/>
        <w:numPr>
          <w:ilvl w:val="0"/>
          <w:numId w:val="18"/>
        </w:numPr>
      </w:pPr>
      <w:r w:rsidRPr="004727AA">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w:t>
      </w:r>
      <w:r w:rsidR="00845F6B">
        <w:t>60</w:t>
      </w:r>
      <w:r w:rsidRPr="004727AA">
        <w:t>:</w:t>
      </w:r>
      <w:r w:rsidR="00845F6B">
        <w:t>K60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845F6B">
        <w:t>K59</w:t>
      </w:r>
      <w:r w:rsidR="008175AD" w:rsidRPr="004727AA">
        <w:t>)</w:t>
      </w:r>
    </w:p>
    <w:p w14:paraId="201E359A" w14:textId="6F237FF0"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w:t>
      </w:r>
      <w:r w:rsidR="00E04F66">
        <w:t>80</w:t>
      </w:r>
      <w:r w:rsidRPr="004727AA">
        <w:t>:</w:t>
      </w:r>
      <w:r w:rsidR="00E04F66">
        <w:t>K80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E04F66">
        <w:t>K79</w:t>
      </w:r>
      <w:r w:rsidR="008175AD" w:rsidRPr="004727AA">
        <w:t>)</w:t>
      </w:r>
    </w:p>
    <w:p w14:paraId="5F204E8E" w14:textId="0546C214"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AC3B48">
        <w:t>K</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6"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lastRenderedPageBreak/>
        <w:t xml:space="preserve">„10 </w:t>
      </w:r>
      <w:r w:rsidRPr="004F2B93">
        <w:t>Úhrada za použití dopravní cesty</w:t>
      </w:r>
      <w:r>
        <w:t>“</w:t>
      </w:r>
      <w:bookmarkEnd w:id="6"/>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5E07D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5E07D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dopravní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lastRenderedPageBreak/>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7" w:name="_Ref516779949"/>
      <w:r>
        <w:t>Záloh</w:t>
      </w:r>
      <w:r w:rsidR="005E2690">
        <w:t>a</w:t>
      </w:r>
      <w:r>
        <w:t xml:space="preserve"> kompenzace</w:t>
      </w:r>
      <w:bookmarkEnd w:id="7"/>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lastRenderedPageBreak/>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69F0970" w:rsidR="005E2690" w:rsidRDefault="005E2690">
      <w:r>
        <w:t>Do následující tabulky v buňkách B20:</w:t>
      </w:r>
      <w:r w:rsidR="00C33CD4">
        <w:t>K</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4887A51A" w:rsidR="005E2690" w:rsidRDefault="005E2690">
      <w:r>
        <w:t>Záloha kompenzace vyplácená Dopravci se pak spočítá jako rozdíl Objednávkové ceny a Skutečných tržeb pro příslušný měsíc v buňkách B37:</w:t>
      </w:r>
      <w:r w:rsidR="000A2C43">
        <w:t>K</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5E07D0"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5E07D0"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w:t>
      </w:r>
      <w:proofErr w:type="spellStart"/>
      <w:r w:rsidR="00C70925" w:rsidRPr="00C70925">
        <w:t>vlkm</w:t>
      </w:r>
      <w:proofErr w:type="spellEnd"/>
      <w:r w:rsidR="00C70925" w:rsidRPr="00C70925">
        <w:t>]</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w:t>
      </w:r>
      <w:proofErr w:type="spellStart"/>
      <w:r w:rsidR="00C83C6B" w:rsidRPr="00C83C6B">
        <w:t>vlkm</w:t>
      </w:r>
      <w:proofErr w:type="spellEnd"/>
      <w:r w:rsidR="00C83C6B" w:rsidRPr="00C83C6B">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 uvede se Dopravní výkon, který byl na pokyn Objednatele ve Skutečnosti zajištěn soupravou dvou vlakových jednotek, byť 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lastRenderedPageBreak/>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5432EB8" w14:textId="0C37B7F8"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AD5142">
        <w:t>K</w:t>
      </w:r>
      <w:r w:rsidR="008B0A6F" w:rsidRPr="004727AA">
        <w:t>20) pro příslušné období Jízdního řádu</w:t>
      </w:r>
    </w:p>
    <w:p w14:paraId="77ABDFCB" w14:textId="51DC787C"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AD5142">
        <w:t>5</w:t>
      </w:r>
      <w:r w:rsidR="008B0A6F" w:rsidRPr="004727AA">
        <w:t>:</w:t>
      </w:r>
      <w:r w:rsidR="00AD5142">
        <w:t>K</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AD5142">
        <w:t>K</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D5BBE1E"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F835BF">
        <w:t>K</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26C1A6E6" w:rsidR="00A3728E" w:rsidRDefault="00D902EB" w:rsidP="00BA3ED3">
      <w:r>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B846AA">
        <w:t>K</w:t>
      </w:r>
      <w:r w:rsidR="0022360D">
        <w:t xml:space="preserve">4 </w:t>
      </w:r>
      <w:r>
        <w:t xml:space="preserve">se přebírá jejich součet za celé období Jízdního řádu. </w:t>
      </w:r>
    </w:p>
    <w:p w14:paraId="36928DD9" w14:textId="23333269" w:rsidR="00BA3ED3" w:rsidRDefault="00D902EB" w:rsidP="00BA3ED3">
      <w:r>
        <w:lastRenderedPageBreak/>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8" w:name="_Ref523835003"/>
      <w:r w:rsidRPr="004727AA">
        <w:t xml:space="preserve">Skutečná </w:t>
      </w:r>
      <w:r w:rsidR="002D3095">
        <w:t>cena</w:t>
      </w:r>
      <w:bookmarkEnd w:id="8"/>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5E07D0"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5E07D0"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184EE" w14:textId="77777777" w:rsidR="007E3C8D" w:rsidRDefault="007E3C8D" w:rsidP="00F30804">
      <w:pPr>
        <w:spacing w:after="0" w:line="240" w:lineRule="auto"/>
      </w:pPr>
      <w:r>
        <w:separator/>
      </w:r>
    </w:p>
  </w:endnote>
  <w:endnote w:type="continuationSeparator" w:id="0">
    <w:p w14:paraId="07CEA0D3" w14:textId="77777777" w:rsidR="007E3C8D" w:rsidRDefault="007E3C8D"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EAA1E" w14:textId="77777777" w:rsidR="005E07D0" w:rsidRDefault="005E07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EB55C" w14:textId="77777777"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C49C1" w14:textId="77777777" w:rsidR="005E07D0" w:rsidRDefault="005E07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5CAF3" w14:textId="77777777" w:rsidR="007E3C8D" w:rsidRDefault="007E3C8D" w:rsidP="00F30804">
      <w:pPr>
        <w:spacing w:after="0" w:line="240" w:lineRule="auto"/>
      </w:pPr>
      <w:r>
        <w:separator/>
      </w:r>
    </w:p>
  </w:footnote>
  <w:footnote w:type="continuationSeparator" w:id="0">
    <w:p w14:paraId="69E4F7B7" w14:textId="77777777" w:rsidR="007E3C8D" w:rsidRDefault="007E3C8D"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0B246" w14:textId="77777777" w:rsidR="005E07D0" w:rsidRDefault="005E07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75107" w14:textId="2B5010A0" w:rsidR="001216C5" w:rsidRPr="00671326" w:rsidRDefault="00FE49B0" w:rsidP="005E07D0">
    <w:pPr>
      <w:pStyle w:val="Zhlav"/>
      <w:tabs>
        <w:tab w:val="left" w:pos="7230"/>
      </w:tabs>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D4661F">
      <w:rPr>
        <w:rFonts w:ascii="Arial" w:hAnsi="Arial" w:cs="Arial"/>
        <w:b/>
      </w:rPr>
      <w:t>Jihozápad</w:t>
    </w:r>
    <w:r w:rsidR="005E07D0">
      <w:rPr>
        <w:rFonts w:ascii="Arial" w:hAnsi="Arial" w:cs="Arial"/>
        <w:b/>
      </w:rPr>
      <w:t xml:space="preserve"> – Český 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A976C" w14:textId="77777777" w:rsidR="005E07D0" w:rsidRDefault="005E07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2313"/>
    <w:rsid w:val="000434D4"/>
    <w:rsid w:val="0005132A"/>
    <w:rsid w:val="0005136E"/>
    <w:rsid w:val="0005425A"/>
    <w:rsid w:val="00054670"/>
    <w:rsid w:val="000570C0"/>
    <w:rsid w:val="0006668B"/>
    <w:rsid w:val="00070B1D"/>
    <w:rsid w:val="00071607"/>
    <w:rsid w:val="00072896"/>
    <w:rsid w:val="000743BF"/>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C1FCD"/>
    <w:rsid w:val="000C29BB"/>
    <w:rsid w:val="000C2D2F"/>
    <w:rsid w:val="000C5C95"/>
    <w:rsid w:val="000C5D94"/>
    <w:rsid w:val="000C6D76"/>
    <w:rsid w:val="000C7655"/>
    <w:rsid w:val="000D16AA"/>
    <w:rsid w:val="000D4000"/>
    <w:rsid w:val="000D56C9"/>
    <w:rsid w:val="000D5AE7"/>
    <w:rsid w:val="000E1B34"/>
    <w:rsid w:val="000E6361"/>
    <w:rsid w:val="000F0140"/>
    <w:rsid w:val="000F0556"/>
    <w:rsid w:val="000F2AF2"/>
    <w:rsid w:val="000F475B"/>
    <w:rsid w:val="000F66DD"/>
    <w:rsid w:val="00100AA3"/>
    <w:rsid w:val="0010305A"/>
    <w:rsid w:val="00103711"/>
    <w:rsid w:val="00105C2B"/>
    <w:rsid w:val="00110E8F"/>
    <w:rsid w:val="001211AE"/>
    <w:rsid w:val="001216C5"/>
    <w:rsid w:val="00122058"/>
    <w:rsid w:val="001237EE"/>
    <w:rsid w:val="001240C9"/>
    <w:rsid w:val="00124ACA"/>
    <w:rsid w:val="00124FD5"/>
    <w:rsid w:val="001262C2"/>
    <w:rsid w:val="00126E8D"/>
    <w:rsid w:val="0013100A"/>
    <w:rsid w:val="00135DF4"/>
    <w:rsid w:val="001402FD"/>
    <w:rsid w:val="00142410"/>
    <w:rsid w:val="001426C7"/>
    <w:rsid w:val="0014419B"/>
    <w:rsid w:val="001448BC"/>
    <w:rsid w:val="001472A2"/>
    <w:rsid w:val="0014762F"/>
    <w:rsid w:val="00151B4E"/>
    <w:rsid w:val="00153A98"/>
    <w:rsid w:val="0015402F"/>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A6344"/>
    <w:rsid w:val="001B17AF"/>
    <w:rsid w:val="001B71BD"/>
    <w:rsid w:val="001C09DA"/>
    <w:rsid w:val="001C51E1"/>
    <w:rsid w:val="001D1274"/>
    <w:rsid w:val="001D2400"/>
    <w:rsid w:val="001D51B9"/>
    <w:rsid w:val="001D5FE2"/>
    <w:rsid w:val="001D675B"/>
    <w:rsid w:val="001E00B7"/>
    <w:rsid w:val="001E0E67"/>
    <w:rsid w:val="001E42BE"/>
    <w:rsid w:val="001F0A27"/>
    <w:rsid w:val="001F3D81"/>
    <w:rsid w:val="001F4973"/>
    <w:rsid w:val="00200F0D"/>
    <w:rsid w:val="002062C1"/>
    <w:rsid w:val="00212EED"/>
    <w:rsid w:val="00215B31"/>
    <w:rsid w:val="00216410"/>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7D0C"/>
    <w:rsid w:val="00287EE3"/>
    <w:rsid w:val="00291C84"/>
    <w:rsid w:val="00291E78"/>
    <w:rsid w:val="00291FEE"/>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2A95"/>
    <w:rsid w:val="002F6839"/>
    <w:rsid w:val="00300F35"/>
    <w:rsid w:val="00301F2D"/>
    <w:rsid w:val="00303E32"/>
    <w:rsid w:val="003060D8"/>
    <w:rsid w:val="0030770E"/>
    <w:rsid w:val="00313493"/>
    <w:rsid w:val="00314FA0"/>
    <w:rsid w:val="00315D0B"/>
    <w:rsid w:val="003244A2"/>
    <w:rsid w:val="003261C8"/>
    <w:rsid w:val="003272B1"/>
    <w:rsid w:val="003276E9"/>
    <w:rsid w:val="00332826"/>
    <w:rsid w:val="00332BC5"/>
    <w:rsid w:val="00336EF8"/>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A8A"/>
    <w:rsid w:val="003A4A39"/>
    <w:rsid w:val="003A754D"/>
    <w:rsid w:val="003B0411"/>
    <w:rsid w:val="003B6977"/>
    <w:rsid w:val="003B7C05"/>
    <w:rsid w:val="003C270D"/>
    <w:rsid w:val="003C2F83"/>
    <w:rsid w:val="003C3F45"/>
    <w:rsid w:val="003C5503"/>
    <w:rsid w:val="003C588E"/>
    <w:rsid w:val="003C6BB5"/>
    <w:rsid w:val="003C79DA"/>
    <w:rsid w:val="003C7E4D"/>
    <w:rsid w:val="003D1015"/>
    <w:rsid w:val="003D1A08"/>
    <w:rsid w:val="003D4454"/>
    <w:rsid w:val="003D4E17"/>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61B4"/>
    <w:rsid w:val="00416FE6"/>
    <w:rsid w:val="00417602"/>
    <w:rsid w:val="00417CB5"/>
    <w:rsid w:val="004234A4"/>
    <w:rsid w:val="004234A8"/>
    <w:rsid w:val="00424099"/>
    <w:rsid w:val="004251A4"/>
    <w:rsid w:val="00425379"/>
    <w:rsid w:val="00426768"/>
    <w:rsid w:val="00427806"/>
    <w:rsid w:val="00435702"/>
    <w:rsid w:val="0044011E"/>
    <w:rsid w:val="00440CC1"/>
    <w:rsid w:val="004424F8"/>
    <w:rsid w:val="00442ED5"/>
    <w:rsid w:val="0044330E"/>
    <w:rsid w:val="00446D29"/>
    <w:rsid w:val="00446EB7"/>
    <w:rsid w:val="00451D09"/>
    <w:rsid w:val="00461762"/>
    <w:rsid w:val="0046271E"/>
    <w:rsid w:val="004658E1"/>
    <w:rsid w:val="004668ED"/>
    <w:rsid w:val="00467453"/>
    <w:rsid w:val="004727AA"/>
    <w:rsid w:val="00477849"/>
    <w:rsid w:val="00481C7D"/>
    <w:rsid w:val="00492196"/>
    <w:rsid w:val="004922CF"/>
    <w:rsid w:val="00495C3D"/>
    <w:rsid w:val="00495DE7"/>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78F"/>
    <w:rsid w:val="004F6B94"/>
    <w:rsid w:val="0050033C"/>
    <w:rsid w:val="005027F1"/>
    <w:rsid w:val="00502B7E"/>
    <w:rsid w:val="00502B9A"/>
    <w:rsid w:val="00504DDE"/>
    <w:rsid w:val="00505CA0"/>
    <w:rsid w:val="005117B2"/>
    <w:rsid w:val="005125D2"/>
    <w:rsid w:val="00515641"/>
    <w:rsid w:val="00515D90"/>
    <w:rsid w:val="00520CB7"/>
    <w:rsid w:val="005233D7"/>
    <w:rsid w:val="00523BB2"/>
    <w:rsid w:val="00525270"/>
    <w:rsid w:val="00525AC7"/>
    <w:rsid w:val="0052642E"/>
    <w:rsid w:val="005301F8"/>
    <w:rsid w:val="00530768"/>
    <w:rsid w:val="0053315D"/>
    <w:rsid w:val="005373A9"/>
    <w:rsid w:val="00540460"/>
    <w:rsid w:val="005431EF"/>
    <w:rsid w:val="00550587"/>
    <w:rsid w:val="005554BD"/>
    <w:rsid w:val="005635D9"/>
    <w:rsid w:val="0056429E"/>
    <w:rsid w:val="00564732"/>
    <w:rsid w:val="00565F53"/>
    <w:rsid w:val="005662B1"/>
    <w:rsid w:val="00570B25"/>
    <w:rsid w:val="00573615"/>
    <w:rsid w:val="00576B1F"/>
    <w:rsid w:val="00576F32"/>
    <w:rsid w:val="00581C31"/>
    <w:rsid w:val="00583B9B"/>
    <w:rsid w:val="00586148"/>
    <w:rsid w:val="005862E0"/>
    <w:rsid w:val="00593FC0"/>
    <w:rsid w:val="005A1D6A"/>
    <w:rsid w:val="005A272E"/>
    <w:rsid w:val="005A470B"/>
    <w:rsid w:val="005B1D8A"/>
    <w:rsid w:val="005B29F3"/>
    <w:rsid w:val="005B3474"/>
    <w:rsid w:val="005B38B2"/>
    <w:rsid w:val="005B488A"/>
    <w:rsid w:val="005B4C12"/>
    <w:rsid w:val="005B5C3D"/>
    <w:rsid w:val="005B6939"/>
    <w:rsid w:val="005B789A"/>
    <w:rsid w:val="005C0F82"/>
    <w:rsid w:val="005C0FE4"/>
    <w:rsid w:val="005C1DAF"/>
    <w:rsid w:val="005C2C29"/>
    <w:rsid w:val="005C6F6C"/>
    <w:rsid w:val="005C7EDE"/>
    <w:rsid w:val="005D0D39"/>
    <w:rsid w:val="005D3E51"/>
    <w:rsid w:val="005D3FB8"/>
    <w:rsid w:val="005D493E"/>
    <w:rsid w:val="005D5D2F"/>
    <w:rsid w:val="005D6F02"/>
    <w:rsid w:val="005E07D0"/>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66DF"/>
    <w:rsid w:val="00627E58"/>
    <w:rsid w:val="00630AE8"/>
    <w:rsid w:val="00632155"/>
    <w:rsid w:val="0063479D"/>
    <w:rsid w:val="006417E2"/>
    <w:rsid w:val="00641C0A"/>
    <w:rsid w:val="00642E92"/>
    <w:rsid w:val="00645A4A"/>
    <w:rsid w:val="00653644"/>
    <w:rsid w:val="00664256"/>
    <w:rsid w:val="00664F03"/>
    <w:rsid w:val="00664FAA"/>
    <w:rsid w:val="00665520"/>
    <w:rsid w:val="00671326"/>
    <w:rsid w:val="00675643"/>
    <w:rsid w:val="006774D7"/>
    <w:rsid w:val="00680E8E"/>
    <w:rsid w:val="006814CA"/>
    <w:rsid w:val="00681B2E"/>
    <w:rsid w:val="006868F2"/>
    <w:rsid w:val="00693DFD"/>
    <w:rsid w:val="00694D98"/>
    <w:rsid w:val="006A1C0A"/>
    <w:rsid w:val="006A37EF"/>
    <w:rsid w:val="006A4204"/>
    <w:rsid w:val="006A4956"/>
    <w:rsid w:val="006A6AAE"/>
    <w:rsid w:val="006A7426"/>
    <w:rsid w:val="006B2B7B"/>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AA1"/>
    <w:rsid w:val="00725493"/>
    <w:rsid w:val="00726639"/>
    <w:rsid w:val="0073350D"/>
    <w:rsid w:val="00733F61"/>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3C8D"/>
    <w:rsid w:val="007E4D1C"/>
    <w:rsid w:val="007E6C59"/>
    <w:rsid w:val="007E72BC"/>
    <w:rsid w:val="007E730F"/>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2A77"/>
    <w:rsid w:val="008336C9"/>
    <w:rsid w:val="00833ECC"/>
    <w:rsid w:val="008342DA"/>
    <w:rsid w:val="008364A7"/>
    <w:rsid w:val="0083661D"/>
    <w:rsid w:val="00842671"/>
    <w:rsid w:val="00844F6E"/>
    <w:rsid w:val="00845F6B"/>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07DF"/>
    <w:rsid w:val="0092789A"/>
    <w:rsid w:val="0093177C"/>
    <w:rsid w:val="00933F11"/>
    <w:rsid w:val="00936AD4"/>
    <w:rsid w:val="00936C3A"/>
    <w:rsid w:val="00936F4A"/>
    <w:rsid w:val="009400C0"/>
    <w:rsid w:val="00944A06"/>
    <w:rsid w:val="00945814"/>
    <w:rsid w:val="00946F38"/>
    <w:rsid w:val="00947F2E"/>
    <w:rsid w:val="00950B84"/>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B1745"/>
    <w:rsid w:val="009B2711"/>
    <w:rsid w:val="009C05A7"/>
    <w:rsid w:val="009D0503"/>
    <w:rsid w:val="009D2EA0"/>
    <w:rsid w:val="009D3608"/>
    <w:rsid w:val="009D3EA7"/>
    <w:rsid w:val="009D4735"/>
    <w:rsid w:val="009D4A33"/>
    <w:rsid w:val="009D5E4C"/>
    <w:rsid w:val="009E4B08"/>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2D41"/>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5E29"/>
    <w:rsid w:val="00B0065F"/>
    <w:rsid w:val="00B02888"/>
    <w:rsid w:val="00B05CC9"/>
    <w:rsid w:val="00B0795D"/>
    <w:rsid w:val="00B11C43"/>
    <w:rsid w:val="00B13B85"/>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24F"/>
    <w:rsid w:val="00B87CB3"/>
    <w:rsid w:val="00B90C96"/>
    <w:rsid w:val="00B910CB"/>
    <w:rsid w:val="00B96741"/>
    <w:rsid w:val="00BA0CAD"/>
    <w:rsid w:val="00BA17B0"/>
    <w:rsid w:val="00BA29ED"/>
    <w:rsid w:val="00BA3ED3"/>
    <w:rsid w:val="00BB0195"/>
    <w:rsid w:val="00BB2171"/>
    <w:rsid w:val="00BB3623"/>
    <w:rsid w:val="00BB4240"/>
    <w:rsid w:val="00BB6940"/>
    <w:rsid w:val="00BB7AAA"/>
    <w:rsid w:val="00BC2384"/>
    <w:rsid w:val="00BC6161"/>
    <w:rsid w:val="00BC6828"/>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22A61"/>
    <w:rsid w:val="00C22E5F"/>
    <w:rsid w:val="00C23C88"/>
    <w:rsid w:val="00C24E44"/>
    <w:rsid w:val="00C26A85"/>
    <w:rsid w:val="00C32C66"/>
    <w:rsid w:val="00C33CD4"/>
    <w:rsid w:val="00C3499A"/>
    <w:rsid w:val="00C35493"/>
    <w:rsid w:val="00C35569"/>
    <w:rsid w:val="00C40A94"/>
    <w:rsid w:val="00C416A1"/>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0C6"/>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5542"/>
    <w:rsid w:val="00D265A8"/>
    <w:rsid w:val="00D3052B"/>
    <w:rsid w:val="00D30C73"/>
    <w:rsid w:val="00D316FF"/>
    <w:rsid w:val="00D339AC"/>
    <w:rsid w:val="00D349CC"/>
    <w:rsid w:val="00D3673B"/>
    <w:rsid w:val="00D42EDD"/>
    <w:rsid w:val="00D4661F"/>
    <w:rsid w:val="00D470EC"/>
    <w:rsid w:val="00D47366"/>
    <w:rsid w:val="00D51FF3"/>
    <w:rsid w:val="00D527C9"/>
    <w:rsid w:val="00D52EF0"/>
    <w:rsid w:val="00D54F96"/>
    <w:rsid w:val="00D552CB"/>
    <w:rsid w:val="00D6209B"/>
    <w:rsid w:val="00D6216C"/>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2B8E"/>
    <w:rsid w:val="00DB3036"/>
    <w:rsid w:val="00DC0EC3"/>
    <w:rsid w:val="00DC63DD"/>
    <w:rsid w:val="00DC6457"/>
    <w:rsid w:val="00DC73C9"/>
    <w:rsid w:val="00DC761A"/>
    <w:rsid w:val="00DD2BFC"/>
    <w:rsid w:val="00DD4376"/>
    <w:rsid w:val="00DD4827"/>
    <w:rsid w:val="00DD4F62"/>
    <w:rsid w:val="00DD541C"/>
    <w:rsid w:val="00DE0A99"/>
    <w:rsid w:val="00DE1F0D"/>
    <w:rsid w:val="00DE2128"/>
    <w:rsid w:val="00DE218F"/>
    <w:rsid w:val="00DE4037"/>
    <w:rsid w:val="00DE6D0B"/>
    <w:rsid w:val="00DE7D2A"/>
    <w:rsid w:val="00DF050B"/>
    <w:rsid w:val="00DF10F5"/>
    <w:rsid w:val="00DF1857"/>
    <w:rsid w:val="00DF2901"/>
    <w:rsid w:val="00DF38DA"/>
    <w:rsid w:val="00DF3D05"/>
    <w:rsid w:val="00DF4A32"/>
    <w:rsid w:val="00DF5783"/>
    <w:rsid w:val="00DF6FCF"/>
    <w:rsid w:val="00E00547"/>
    <w:rsid w:val="00E01282"/>
    <w:rsid w:val="00E013E0"/>
    <w:rsid w:val="00E04F66"/>
    <w:rsid w:val="00E05032"/>
    <w:rsid w:val="00E050FA"/>
    <w:rsid w:val="00E060EC"/>
    <w:rsid w:val="00E107E5"/>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5A8C"/>
    <w:rsid w:val="00E77CDD"/>
    <w:rsid w:val="00E800B2"/>
    <w:rsid w:val="00E81ADD"/>
    <w:rsid w:val="00E85637"/>
    <w:rsid w:val="00E87055"/>
    <w:rsid w:val="00E9785C"/>
    <w:rsid w:val="00EA1390"/>
    <w:rsid w:val="00EA7019"/>
    <w:rsid w:val="00EB07DF"/>
    <w:rsid w:val="00EB1C37"/>
    <w:rsid w:val="00EB335F"/>
    <w:rsid w:val="00EB37BD"/>
    <w:rsid w:val="00EB6A8B"/>
    <w:rsid w:val="00EC0973"/>
    <w:rsid w:val="00EC2265"/>
    <w:rsid w:val="00EC4DA6"/>
    <w:rsid w:val="00ED0232"/>
    <w:rsid w:val="00ED6AD7"/>
    <w:rsid w:val="00ED7782"/>
    <w:rsid w:val="00EE0AB3"/>
    <w:rsid w:val="00EE1041"/>
    <w:rsid w:val="00EE198E"/>
    <w:rsid w:val="00EE19F1"/>
    <w:rsid w:val="00EE7EB2"/>
    <w:rsid w:val="00EF257C"/>
    <w:rsid w:val="00EF401D"/>
    <w:rsid w:val="00EF45C2"/>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89C"/>
    <w:rsid w:val="00FB3C18"/>
    <w:rsid w:val="00FB7CDE"/>
    <w:rsid w:val="00FB7F03"/>
    <w:rsid w:val="00FB7FB0"/>
    <w:rsid w:val="00FC4CE1"/>
    <w:rsid w:val="00FC5A07"/>
    <w:rsid w:val="00FC6937"/>
    <w:rsid w:val="00FD281A"/>
    <w:rsid w:val="00FD686A"/>
    <w:rsid w:val="00FD7C15"/>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czso.cz/csu/czso/pmz_cr" TargetMode="External"/><Relationship Id="rId2" Type="http://schemas.openxmlformats.org/officeDocument/2006/relationships/numbering" Target="numbering.xml"/><Relationship Id="rId16" Type="http://schemas.openxmlformats.org/officeDocument/2006/relationships/hyperlink" Target="https://www.czso.cz/csu/czso/ipc_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zso.cz/csu/czso/setreni-prumernych-cen-vybranych-vyrobku-pohonne-hmoty-a-topne-oleje-casove-rad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zso.cz/csu/czso/isc_cr"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89CB6-CDE1-4DEB-A4DD-8722F023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25</Pages>
  <Words>6653</Words>
  <Characters>39254</Characters>
  <Application>Microsoft Office Word</Application>
  <DocSecurity>0</DocSecurity>
  <Lines>327</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Benediktová Marcela</cp:lastModifiedBy>
  <cp:revision>286</cp:revision>
  <cp:lastPrinted>2018-06-25T18:44:00Z</cp:lastPrinted>
  <dcterms:created xsi:type="dcterms:W3CDTF">2018-10-02T11:47:00Z</dcterms:created>
  <dcterms:modified xsi:type="dcterms:W3CDTF">2020-08-06T11:22:00Z</dcterms:modified>
</cp:coreProperties>
</file>